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73" w:rsidRPr="0081760D" w:rsidRDefault="000E1E40" w:rsidP="0081760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1760D">
        <w:rPr>
          <w:rFonts w:ascii="Arial" w:hAnsi="Arial" w:cs="Arial"/>
          <w:b/>
          <w:sz w:val="28"/>
          <w:szCs w:val="28"/>
        </w:rPr>
        <w:t xml:space="preserve">Opis </w:t>
      </w:r>
      <w:r w:rsidR="00260573" w:rsidRPr="0081760D">
        <w:rPr>
          <w:rFonts w:ascii="Arial" w:hAnsi="Arial" w:cs="Arial"/>
          <w:b/>
          <w:sz w:val="28"/>
          <w:szCs w:val="28"/>
        </w:rPr>
        <w:t>Przedmiotu Zamówienia</w:t>
      </w:r>
    </w:p>
    <w:p w:rsidR="00260573" w:rsidRDefault="00260573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760D" w:rsidRDefault="0081760D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760D" w:rsidRPr="0081760D" w:rsidRDefault="0081760D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760D" w:rsidRPr="004E11A6" w:rsidRDefault="0081760D" w:rsidP="004E11A6">
      <w:pPr>
        <w:pStyle w:val="Akapitzlist"/>
        <w:numPr>
          <w:ilvl w:val="0"/>
          <w:numId w:val="19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E11A6">
        <w:rPr>
          <w:rFonts w:ascii="Arial" w:hAnsi="Arial" w:cs="Arial"/>
          <w:b/>
          <w:sz w:val="20"/>
          <w:szCs w:val="20"/>
          <w:u w:val="single"/>
        </w:rPr>
        <w:t>Podstawowe wymagania dotyczące oprogramowania:</w:t>
      </w:r>
    </w:p>
    <w:p w:rsidR="0081760D" w:rsidRDefault="0081760D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760D" w:rsidRPr="0081760D" w:rsidRDefault="0081760D" w:rsidP="0081760D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licencji: </w:t>
      </w:r>
      <w:r w:rsidRPr="0081760D">
        <w:rPr>
          <w:rFonts w:ascii="Arial" w:hAnsi="Arial" w:cs="Arial"/>
          <w:sz w:val="20"/>
          <w:szCs w:val="20"/>
        </w:rPr>
        <w:t>imienn</w:t>
      </w:r>
      <w:r>
        <w:rPr>
          <w:rFonts w:ascii="Arial" w:hAnsi="Arial" w:cs="Arial"/>
          <w:sz w:val="20"/>
          <w:szCs w:val="20"/>
        </w:rPr>
        <w:t>a</w:t>
      </w:r>
      <w:r w:rsidRPr="0081760D">
        <w:rPr>
          <w:rFonts w:ascii="Arial" w:hAnsi="Arial" w:cs="Arial"/>
          <w:sz w:val="20"/>
          <w:szCs w:val="20"/>
        </w:rPr>
        <w:t xml:space="preserve"> na login i hasło dla każdego Użytkownika.</w:t>
      </w:r>
    </w:p>
    <w:p w:rsidR="0081760D" w:rsidRPr="0081760D" w:rsidRDefault="0081760D" w:rsidP="0081760D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dostępów:</w:t>
      </w:r>
      <w:r w:rsidR="00006F8E">
        <w:rPr>
          <w:rFonts w:ascii="Arial" w:hAnsi="Arial" w:cs="Arial"/>
          <w:sz w:val="20"/>
          <w:szCs w:val="20"/>
        </w:rPr>
        <w:t xml:space="preserve"> </w:t>
      </w:r>
      <w:r w:rsidR="00006F8E" w:rsidRPr="00006F8E">
        <w:rPr>
          <w:rFonts w:ascii="Arial" w:hAnsi="Arial" w:cs="Arial"/>
          <w:b/>
          <w:sz w:val="20"/>
          <w:szCs w:val="20"/>
        </w:rPr>
        <w:t>min. 120</w:t>
      </w:r>
      <w:r w:rsidRPr="0081760D">
        <w:rPr>
          <w:rFonts w:ascii="Arial" w:hAnsi="Arial" w:cs="Arial"/>
          <w:sz w:val="20"/>
          <w:szCs w:val="20"/>
        </w:rPr>
        <w:t>.</w:t>
      </w:r>
    </w:p>
    <w:p w:rsidR="006E269C" w:rsidRDefault="00006F8E" w:rsidP="006E269C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licencyjny: </w:t>
      </w:r>
      <w:r w:rsidR="002873BC">
        <w:rPr>
          <w:rFonts w:ascii="Arial" w:hAnsi="Arial" w:cs="Arial"/>
          <w:b/>
          <w:sz w:val="20"/>
          <w:szCs w:val="20"/>
        </w:rPr>
        <w:t>od 01.04.2025 r. do 31.03.2026</w:t>
      </w:r>
      <w:r w:rsidR="0081760D">
        <w:rPr>
          <w:rFonts w:ascii="Arial" w:hAnsi="Arial" w:cs="Arial"/>
          <w:sz w:val="20"/>
          <w:szCs w:val="20"/>
        </w:rPr>
        <w:t xml:space="preserve"> r. – umowa nieodnawialna</w:t>
      </w:r>
    </w:p>
    <w:p w:rsidR="00C63107" w:rsidRDefault="006E269C" w:rsidP="00C63107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>W ramach abonamentu bezpłatne szkolenie, codzienn</w:t>
      </w:r>
      <w:r>
        <w:rPr>
          <w:rFonts w:ascii="Arial" w:hAnsi="Arial" w:cs="Arial"/>
          <w:sz w:val="20"/>
          <w:szCs w:val="20"/>
        </w:rPr>
        <w:t>a</w:t>
      </w:r>
      <w:r w:rsidRPr="006E269C">
        <w:rPr>
          <w:rFonts w:ascii="Arial" w:hAnsi="Arial" w:cs="Arial"/>
          <w:sz w:val="20"/>
          <w:szCs w:val="20"/>
        </w:rPr>
        <w:t xml:space="preserve"> aktualizacj</w:t>
      </w:r>
      <w:r>
        <w:rPr>
          <w:rFonts w:ascii="Arial" w:hAnsi="Arial" w:cs="Arial"/>
          <w:sz w:val="20"/>
          <w:szCs w:val="20"/>
        </w:rPr>
        <w:t>a</w:t>
      </w:r>
      <w:r w:rsidR="00006F8E">
        <w:rPr>
          <w:rFonts w:ascii="Arial" w:hAnsi="Arial" w:cs="Arial"/>
          <w:sz w:val="20"/>
          <w:szCs w:val="20"/>
        </w:rPr>
        <w:t xml:space="preserve"> w dni robocze</w:t>
      </w:r>
      <w:r w:rsidRPr="006E269C">
        <w:rPr>
          <w:rFonts w:ascii="Arial" w:hAnsi="Arial" w:cs="Arial"/>
          <w:sz w:val="20"/>
          <w:szCs w:val="20"/>
        </w:rPr>
        <w:t>, merytoryczn</w:t>
      </w:r>
      <w:r>
        <w:rPr>
          <w:rFonts w:ascii="Arial" w:hAnsi="Arial" w:cs="Arial"/>
          <w:sz w:val="20"/>
          <w:szCs w:val="20"/>
        </w:rPr>
        <w:t>a</w:t>
      </w:r>
      <w:r w:rsidRPr="006E269C">
        <w:rPr>
          <w:rFonts w:ascii="Arial" w:hAnsi="Arial" w:cs="Arial"/>
          <w:sz w:val="20"/>
          <w:szCs w:val="20"/>
        </w:rPr>
        <w:t xml:space="preserve"> oraz</w:t>
      </w:r>
      <w:r>
        <w:rPr>
          <w:rFonts w:ascii="Arial" w:hAnsi="Arial" w:cs="Arial"/>
          <w:sz w:val="20"/>
          <w:szCs w:val="20"/>
        </w:rPr>
        <w:t xml:space="preserve"> </w:t>
      </w:r>
      <w:r w:rsidRPr="006E269C">
        <w:rPr>
          <w:rFonts w:ascii="Arial" w:hAnsi="Arial" w:cs="Arial"/>
          <w:sz w:val="20"/>
          <w:szCs w:val="20"/>
        </w:rPr>
        <w:t>techniczn</w:t>
      </w:r>
      <w:r>
        <w:rPr>
          <w:rFonts w:ascii="Arial" w:hAnsi="Arial" w:cs="Arial"/>
          <w:sz w:val="20"/>
          <w:szCs w:val="20"/>
        </w:rPr>
        <w:t>a</w:t>
      </w:r>
      <w:r w:rsidRPr="006E269C">
        <w:rPr>
          <w:rFonts w:ascii="Arial" w:hAnsi="Arial" w:cs="Arial"/>
          <w:sz w:val="20"/>
          <w:szCs w:val="20"/>
        </w:rPr>
        <w:t xml:space="preserve"> opiek</w:t>
      </w:r>
      <w:r>
        <w:rPr>
          <w:rFonts w:ascii="Arial" w:hAnsi="Arial" w:cs="Arial"/>
          <w:sz w:val="20"/>
          <w:szCs w:val="20"/>
        </w:rPr>
        <w:t>a</w:t>
      </w:r>
      <w:r w:rsidRPr="006E269C">
        <w:rPr>
          <w:rFonts w:ascii="Arial" w:hAnsi="Arial" w:cs="Arial"/>
          <w:sz w:val="20"/>
          <w:szCs w:val="20"/>
        </w:rPr>
        <w:t xml:space="preserve"> przez cały okres umowy.</w:t>
      </w:r>
    </w:p>
    <w:p w:rsidR="006E269C" w:rsidRPr="00C65D84" w:rsidRDefault="006E269C" w:rsidP="00C65D84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63107">
        <w:rPr>
          <w:rFonts w:ascii="Arial" w:hAnsi="Arial" w:cs="Arial"/>
          <w:sz w:val="20"/>
          <w:szCs w:val="20"/>
        </w:rPr>
        <w:t xml:space="preserve">Wszyscy </w:t>
      </w:r>
      <w:r w:rsidR="00C63107">
        <w:rPr>
          <w:rFonts w:ascii="Arial" w:hAnsi="Arial" w:cs="Arial"/>
          <w:sz w:val="20"/>
          <w:szCs w:val="20"/>
        </w:rPr>
        <w:t xml:space="preserve">Użytkownicy </w:t>
      </w:r>
      <w:r w:rsidRPr="00C63107">
        <w:rPr>
          <w:rFonts w:ascii="Arial" w:hAnsi="Arial" w:cs="Arial"/>
          <w:sz w:val="20"/>
          <w:szCs w:val="20"/>
        </w:rPr>
        <w:t xml:space="preserve">mają dostęp do pełnego wykupionego pakietu </w:t>
      </w:r>
      <w:r w:rsidR="00C63107" w:rsidRPr="00C63107">
        <w:rPr>
          <w:rFonts w:ascii="Arial" w:hAnsi="Arial" w:cs="Arial"/>
          <w:b/>
          <w:sz w:val="20"/>
          <w:szCs w:val="20"/>
        </w:rPr>
        <w:t>Lex Omega Administracja Optimum On-line z Działem Prawnym w najwyższej wersji Premium</w:t>
      </w:r>
      <w:r w:rsidR="00C65D84">
        <w:rPr>
          <w:rFonts w:ascii="Arial" w:hAnsi="Arial" w:cs="Arial"/>
          <w:b/>
          <w:sz w:val="20"/>
          <w:szCs w:val="20"/>
        </w:rPr>
        <w:t xml:space="preserve">, </w:t>
      </w:r>
      <w:r w:rsidR="00C65D84" w:rsidRPr="00C65D84">
        <w:rPr>
          <w:rFonts w:ascii="Arial" w:hAnsi="Arial" w:cs="Arial"/>
          <w:b/>
          <w:sz w:val="20"/>
          <w:szCs w:val="20"/>
        </w:rPr>
        <w:t>Działem Kadry</w:t>
      </w:r>
      <w:r w:rsidR="00C65D84">
        <w:rPr>
          <w:rFonts w:ascii="Arial" w:hAnsi="Arial" w:cs="Arial"/>
          <w:b/>
          <w:sz w:val="20"/>
          <w:szCs w:val="20"/>
        </w:rPr>
        <w:t xml:space="preserve"> </w:t>
      </w:r>
      <w:r w:rsidR="00C65D84" w:rsidRPr="00C65D84">
        <w:rPr>
          <w:rFonts w:ascii="Arial" w:hAnsi="Arial" w:cs="Arial"/>
          <w:b/>
          <w:sz w:val="20"/>
          <w:szCs w:val="20"/>
        </w:rPr>
        <w:t xml:space="preserve">Premium </w:t>
      </w:r>
      <w:r w:rsidR="00C63107" w:rsidRPr="00C65D84">
        <w:rPr>
          <w:rFonts w:ascii="Arial" w:hAnsi="Arial" w:cs="Arial"/>
          <w:sz w:val="20"/>
          <w:szCs w:val="20"/>
        </w:rPr>
        <w:t xml:space="preserve"> </w:t>
      </w:r>
      <w:r w:rsidRPr="00C65D84">
        <w:rPr>
          <w:rFonts w:ascii="Arial" w:hAnsi="Arial" w:cs="Arial"/>
          <w:sz w:val="20"/>
          <w:szCs w:val="20"/>
        </w:rPr>
        <w:t>zawierającego min.: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Dział Zamówienia Publiczne,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Dział Księgowość,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>Dział Kadry,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Budownictwo,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Ochrona Środowiska.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Analizy konkretnych zagadnień,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Komentarze specjalistów – którzy koncentrują się na praktycznych aspektach omawianego zagadnienia, na bieżąco aktualizowane odpowiedzi na pytania.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Linie Orzecznicze;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Prawo Europejskie z Komentarzami i orzecznictwem. 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 xml:space="preserve">Zegar Legislacyjny. </w:t>
      </w:r>
    </w:p>
    <w:p w:rsid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>Szkolenia merytoryczne Online.</w:t>
      </w:r>
    </w:p>
    <w:p w:rsidR="006E269C" w:rsidRPr="006E269C" w:rsidRDefault="006E269C" w:rsidP="006E269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269C">
        <w:rPr>
          <w:rFonts w:ascii="Arial" w:hAnsi="Arial" w:cs="Arial"/>
          <w:sz w:val="20"/>
          <w:szCs w:val="20"/>
        </w:rPr>
        <w:t>Lex Kompas Orzeczniczy</w:t>
      </w:r>
      <w:r w:rsidR="00851106">
        <w:rPr>
          <w:rFonts w:ascii="Arial" w:hAnsi="Arial" w:cs="Arial"/>
          <w:sz w:val="20"/>
          <w:szCs w:val="20"/>
        </w:rPr>
        <w:t xml:space="preserve"> w najnowszej wersji</w:t>
      </w:r>
      <w:r w:rsidR="002976A5">
        <w:rPr>
          <w:rFonts w:ascii="Arial" w:hAnsi="Arial" w:cs="Arial"/>
          <w:sz w:val="20"/>
          <w:szCs w:val="20"/>
        </w:rPr>
        <w:t xml:space="preserve"> - </w:t>
      </w:r>
      <w:bookmarkStart w:id="0" w:name="_GoBack"/>
      <w:bookmarkEnd w:id="0"/>
      <w:r w:rsidR="002976A5" w:rsidRPr="002976A5">
        <w:rPr>
          <w:rFonts w:ascii="Arial" w:eastAsia="Times New Roman" w:hAnsi="Arial" w:cs="Arial"/>
          <w:sz w:val="20"/>
          <w:szCs w:val="20"/>
          <w:lang w:eastAsia="pl-PL"/>
        </w:rPr>
        <w:t>Interpretacje Podatkowe</w:t>
      </w:r>
    </w:p>
    <w:p w:rsidR="006E269C" w:rsidRPr="0081760D" w:rsidRDefault="006E269C" w:rsidP="0081760D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 do oprogramowania poprzez przeglądarkę internetową bez konieczności instalowania dodatkowego oprogramowania.</w:t>
      </w:r>
    </w:p>
    <w:p w:rsidR="0081760D" w:rsidRDefault="0081760D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760D" w:rsidRPr="0081760D" w:rsidRDefault="0081760D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17C3" w:rsidRPr="0081760D" w:rsidRDefault="00B56152" w:rsidP="004E11A6">
      <w:pPr>
        <w:pStyle w:val="Akapitzlist"/>
        <w:numPr>
          <w:ilvl w:val="0"/>
          <w:numId w:val="19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  <w:u w:val="single"/>
        </w:rPr>
        <w:t xml:space="preserve">Szczegółowy opis </w:t>
      </w:r>
      <w:r w:rsidR="0041500C" w:rsidRPr="0081760D">
        <w:rPr>
          <w:rFonts w:ascii="Arial" w:hAnsi="Arial" w:cs="Arial"/>
          <w:b/>
          <w:sz w:val="20"/>
          <w:szCs w:val="20"/>
          <w:u w:val="single"/>
        </w:rPr>
        <w:t>zawartości S</w:t>
      </w:r>
      <w:r w:rsidR="006C2AA1" w:rsidRPr="0081760D">
        <w:rPr>
          <w:rFonts w:ascii="Arial" w:hAnsi="Arial" w:cs="Arial"/>
          <w:b/>
          <w:sz w:val="20"/>
          <w:szCs w:val="20"/>
          <w:u w:val="single"/>
        </w:rPr>
        <w:t>ystemu Informacji Prawnej</w:t>
      </w: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Dziennik Ustaw</w:t>
      </w:r>
    </w:p>
    <w:p w:rsidR="007F17C3" w:rsidRPr="0081760D" w:rsidRDefault="007F17C3" w:rsidP="002329F3">
      <w:pPr>
        <w:pStyle w:val="Akapitzlist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informacji formalnych o aktach od</w:t>
      </w:r>
      <w:r w:rsidR="00EB2EC5" w:rsidRPr="0081760D">
        <w:rPr>
          <w:rFonts w:ascii="Arial" w:hAnsi="Arial" w:cs="Arial"/>
          <w:sz w:val="20"/>
          <w:szCs w:val="20"/>
        </w:rPr>
        <w:t xml:space="preserve"> </w:t>
      </w:r>
      <w:r w:rsidRPr="0081760D">
        <w:rPr>
          <w:rFonts w:ascii="Arial" w:hAnsi="Arial" w:cs="Arial"/>
          <w:sz w:val="20"/>
          <w:szCs w:val="20"/>
        </w:rPr>
        <w:t>1918 roku (co najmniej: identyfikator, tytuł, organ wydający, data uchwalenia lub wydania aktu, data ogłoszenia, data wejścia w życie, skanów oryginału).</w:t>
      </w:r>
    </w:p>
    <w:p w:rsidR="007F17C3" w:rsidRPr="0081760D" w:rsidRDefault="007F17C3" w:rsidP="002329F3">
      <w:pPr>
        <w:pStyle w:val="Akapitzlist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Wszystkie akty obowiązujące oraz oczekujące.</w:t>
      </w:r>
    </w:p>
    <w:p w:rsidR="007F17C3" w:rsidRPr="0081760D" w:rsidRDefault="007F17C3" w:rsidP="002329F3">
      <w:pPr>
        <w:pStyle w:val="Akapitzlist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 xml:space="preserve">Komplet tekstów aktów ujednoliconych i ocenionych, co do obowiązywania, opublikowanych od </w:t>
      </w:r>
      <w:r w:rsidR="002329F3">
        <w:rPr>
          <w:rFonts w:ascii="Arial" w:hAnsi="Arial" w:cs="Arial"/>
          <w:color w:val="000000" w:themeColor="text1"/>
          <w:sz w:val="20"/>
          <w:szCs w:val="20"/>
        </w:rPr>
        <w:t>1 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 xml:space="preserve">stycznia </w:t>
      </w:r>
      <w:r w:rsidRPr="0081760D">
        <w:rPr>
          <w:rFonts w:ascii="Arial" w:hAnsi="Arial" w:cs="Arial"/>
          <w:sz w:val="20"/>
          <w:szCs w:val="20"/>
        </w:rPr>
        <w:t>1918 roku.</w:t>
      </w: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Monitor Polski</w:t>
      </w:r>
    </w:p>
    <w:p w:rsidR="007F17C3" w:rsidRPr="0081760D" w:rsidRDefault="007F17C3" w:rsidP="002329F3">
      <w:pPr>
        <w:pStyle w:val="Akapitzlist"/>
        <w:numPr>
          <w:ilvl w:val="0"/>
          <w:numId w:val="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informacji formalnych o aktach od</w:t>
      </w:r>
      <w:r w:rsidR="00EB2EC5" w:rsidRPr="0081760D">
        <w:rPr>
          <w:rFonts w:ascii="Arial" w:hAnsi="Arial" w:cs="Arial"/>
          <w:sz w:val="20"/>
          <w:szCs w:val="20"/>
        </w:rPr>
        <w:t xml:space="preserve"> </w:t>
      </w:r>
      <w:r w:rsidRPr="0081760D">
        <w:rPr>
          <w:rFonts w:ascii="Arial" w:hAnsi="Arial" w:cs="Arial"/>
          <w:sz w:val="20"/>
          <w:szCs w:val="20"/>
        </w:rPr>
        <w:t>1918 roku (co najmniej: identyfikator, tytuł, organ wydający, data uchwalenia lub wydania aktu, data ogłoszenia, data wejścia w życie, skanów oryginału).</w:t>
      </w:r>
    </w:p>
    <w:p w:rsidR="007F17C3" w:rsidRPr="0081760D" w:rsidRDefault="007F17C3" w:rsidP="002329F3">
      <w:pPr>
        <w:pStyle w:val="Akapitzlist"/>
        <w:numPr>
          <w:ilvl w:val="0"/>
          <w:numId w:val="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Wszystkie akty obowiązujące oraz oczekujące.</w:t>
      </w:r>
    </w:p>
    <w:p w:rsidR="007F17C3" w:rsidRPr="0081760D" w:rsidRDefault="007F17C3" w:rsidP="002329F3">
      <w:pPr>
        <w:pStyle w:val="Akapitzlist"/>
        <w:numPr>
          <w:ilvl w:val="0"/>
          <w:numId w:val="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 xml:space="preserve">Komplet tekstów 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aktów ujednoliconych i ocenionych, co do obo</w:t>
      </w:r>
      <w:r w:rsidR="002329F3">
        <w:rPr>
          <w:rFonts w:ascii="Arial" w:hAnsi="Arial" w:cs="Arial"/>
          <w:color w:val="000000" w:themeColor="text1"/>
          <w:sz w:val="20"/>
          <w:szCs w:val="20"/>
        </w:rPr>
        <w:t>wiązywania, opublikowanych od 1 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stycznia 1945 roku.</w:t>
      </w:r>
    </w:p>
    <w:p w:rsidR="007F17C3" w:rsidRPr="0081760D" w:rsidRDefault="007F17C3" w:rsidP="0081760D">
      <w:pPr>
        <w:pStyle w:val="Akapitzlist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F17C3" w:rsidRPr="0081760D" w:rsidRDefault="007F17C3" w:rsidP="0081760D">
      <w:pPr>
        <w:pStyle w:val="Akapitzlist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color w:val="000000" w:themeColor="text1"/>
          <w:sz w:val="20"/>
          <w:szCs w:val="20"/>
        </w:rPr>
        <w:t>Dzienniki Urzędowe</w:t>
      </w:r>
    </w:p>
    <w:p w:rsidR="007F17C3" w:rsidRPr="0081760D" w:rsidRDefault="007F17C3" w:rsidP="0081760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(Komplet dokumentów opublikowanych przynajmniej od 2001 roku oraz wybór z lat poprzednich). Ujednolicone teksty aktów prawnych opublikowanych w Dzienn</w:t>
      </w:r>
      <w:r w:rsidR="002329F3">
        <w:rPr>
          <w:rFonts w:ascii="Arial" w:hAnsi="Arial" w:cs="Arial"/>
          <w:color w:val="000000" w:themeColor="text1"/>
          <w:sz w:val="20"/>
          <w:szCs w:val="20"/>
        </w:rPr>
        <w:t>ikach Urzędowych naczelnych i 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centralnych organów administracji rządowej (aktualnych i stanowiących kontynuację dzienników wydawanych przez urząd występujący pod inną nazwą), w tym: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Biuletyn Informacyjny Lasów Państwowych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Agencji Bezpieczeństwa Wewnętrznego od 2009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Agencji Wywiadu 2010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Centralnego Biura Antykorupcyjnego od 2007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Centralnego Zarządu Służby Więziennej od 2004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Generalnej Dyrekcji Ochrony Środowiska od 2011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lastRenderedPageBreak/>
        <w:t>Dziennik Urzędowy Głównego Inspektoratu Ochrony Środowiska 2012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Głównego Urzędu Miar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Głównego Urzędu Statystycznego od 1980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Komendy Głównej Państwowej Straży Pożarnej od 2000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Komendy Głównej Policji od 2000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Komendy Głównej Straży Granicznej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Komisji Nadzoru Finansowego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Komisji Nadzoru Ubezpieczeń i Funduszy Emerytalnych od 2003r.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Komisji Papierów Wartościowych i Giełd od 1997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Komitetu Integracji Europejskiej od 2000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Administracji i Cyfryzacji od 2012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Budownictwa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Edukacji Narodowej od 1988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Finansów od 1971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Gospodarki od 2008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Gospodarki Morskiej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Infrastruktury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Infrastruktury i Rozwoju od 2013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Kultury i Dziedzictwa Narodowego (wcześniej Dziennik Urzędowy Ministra Kultury)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Nauki i Informatyzacji (wcześniej -Dziennik Urzędowy Ministra Nauki i Informatyzacji i</w:t>
      </w:r>
      <w:r w:rsidR="004E11A6">
        <w:rPr>
          <w:rFonts w:ascii="Arial" w:hAnsi="Arial" w:cs="Arial"/>
          <w:color w:val="000000" w:themeColor="text1"/>
          <w:sz w:val="20"/>
          <w:szCs w:val="20"/>
        </w:rPr>
        <w:t xml:space="preserve"> Komitetu Badań Naukowych oraz 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Nauki i Komitetu Badań Naukowych)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Nauki i Szkolnictwa Wyższego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Obrony Narodowej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Pracy i Polityki Społecznej (wcześniej Dziennik Urzędowy Ministra Polityki Społecznej) od 2005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Pracy i Polityki Socjalnej od 1988r.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Rolnictwa i Rozwoju Wsi (wcześniej Dziennik Urzędowy Ministra Rolnictwa i Gospodarki Żywnościowej) od 1999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Rozwoju Regionalnego od 2013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Skarbu Państwa od 2002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Sportu i Turystyki od 2012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Spraw Wewnętrznych (wcześniej Dziennik Urzędowy Ministra Spraw Wewnętrznych i Administracji) od 1992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Spraw Zagranicznych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Sprawiedliwości od 1985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Środowiska (wcześniej: Minister Środowiska i Głównego Inspektora Ochrony Środowiska) od 2002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Transportu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Transportu i Budownictwa od 2005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Transportu, Budownictwa i Gospodarki Morskiej od 2011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Tr</w:t>
      </w:r>
      <w:r w:rsidR="004E11A6">
        <w:rPr>
          <w:rFonts w:ascii="Arial" w:hAnsi="Arial" w:cs="Arial"/>
          <w:color w:val="000000" w:themeColor="text1"/>
          <w:sz w:val="20"/>
          <w:szCs w:val="20"/>
        </w:rPr>
        <w:t xml:space="preserve">ansportu i Gospodarki Morskiej 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Ministra Zdrowia (wcześniej Dziennik Urzędowy Ministra Zdrowia i Opieki Społecznej) od 1982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Narodowego Banku Polskiego od 1982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Państwowej Agencji Atomistyki od 2010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Prezesa Kasy Rolniczego Ubezpieczenia Społecznego od 2002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Komunikacji Elektronicznej od 2006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Lotnictwa Cywilnego od 2003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Mieszkalnictwa i Rozwoju Miast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Ochrony Konkurencji i Konsumentów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Patentowego Rzeczypospolitej Polskiej od 2001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Urzędu Regulacji Telekomunikacji i Poczty od 2005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Urząd Rejestracji Produktów Leczniczych, Wyrobów Medycznych i Produktów Biobójczych 2011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Wyższego Urzędu Górniczego od 2002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Dziennik Urzędowy Zakładu Ubezpieczeń Społecznych od 1980 r.</w:t>
      </w:r>
    </w:p>
    <w:p w:rsidR="007F17C3" w:rsidRPr="0081760D" w:rsidRDefault="007F17C3" w:rsidP="002329F3">
      <w:pPr>
        <w:numPr>
          <w:ilvl w:val="6"/>
          <w:numId w:val="23"/>
        </w:numPr>
        <w:tabs>
          <w:tab w:val="clear" w:pos="107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Prezes Narodowego Funduszu Zdrowia od 2007 r.</w:t>
      </w:r>
    </w:p>
    <w:p w:rsidR="002329F3" w:rsidRDefault="002329F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Cs w:val="0"/>
          <w:color w:val="000000" w:themeColor="text1"/>
          <w:sz w:val="20"/>
          <w:szCs w:val="20"/>
        </w:rPr>
      </w:pPr>
      <w:bookmarkStart w:id="1" w:name="_Toc424025103"/>
    </w:p>
    <w:p w:rsidR="007F17C3" w:rsidRPr="0081760D" w:rsidRDefault="007F17C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Cs w:val="0"/>
          <w:i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bCs w:val="0"/>
          <w:color w:val="000000" w:themeColor="text1"/>
          <w:sz w:val="20"/>
          <w:szCs w:val="20"/>
        </w:rPr>
        <w:t>Prawo miejscowe</w:t>
      </w:r>
      <w:bookmarkEnd w:id="1"/>
    </w:p>
    <w:p w:rsidR="007F17C3" w:rsidRPr="0081760D" w:rsidRDefault="007F17C3" w:rsidP="0081760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ujednoliconych i ocenianych co do obowiązywania tekstów aktów prawnych opublikowanych w Wojewódzkich Dziennikach Urzędowych, od wprowadzenia 16 województw ustawą z dnia 24 lipca 1998 r. o wprowadzeniu zasadniczego trójstopniowego podziału te</w:t>
      </w:r>
      <w:r w:rsidR="002329F3">
        <w:rPr>
          <w:rFonts w:ascii="Arial" w:hAnsi="Arial" w:cs="Arial"/>
          <w:sz w:val="20"/>
          <w:szCs w:val="20"/>
        </w:rPr>
        <w:t>rytorialnego państwa, to jest 1 </w:t>
      </w:r>
      <w:r w:rsidRPr="0081760D">
        <w:rPr>
          <w:rFonts w:ascii="Arial" w:hAnsi="Arial" w:cs="Arial"/>
          <w:sz w:val="20"/>
          <w:szCs w:val="20"/>
        </w:rPr>
        <w:t>stycznia 1999 roku.</w:t>
      </w:r>
    </w:p>
    <w:p w:rsidR="002329F3" w:rsidRDefault="002329F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Dziennik Urzędowy Unii Europejskiej seria L – wydanie polskie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informacji formalnych o aktach opublikowanych w tym dzienniku (co najmniej: identyfikator, tytuł, organ wydający, rodzaj dokumentu, data uchwalenia lub wydania aktu, data ogłoszenia, data wejścia w życie).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Ujednolicone teksty aktów prawnych ukazujących się w języku polskim, opublikowane od 1 maja 2004 r. wraz z oceną co do obowiązywania.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Możliwość udostępniania kolejnych wersji historycznych aktów obowiązujących i uchylonych.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Wzajemne powiązania formalne między aktami (co najmniej relacje typu: zmienia – zmieniany przez, uchyla – uchylony przez, wykonuje – wykonywany przez, implementuje – implementowany przez).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Odwołania do przywołanych w aktach przepisów innych aktów</w:t>
      </w:r>
      <w:r w:rsidR="002329F3">
        <w:rPr>
          <w:rFonts w:ascii="Arial" w:hAnsi="Arial" w:cs="Arial"/>
          <w:sz w:val="20"/>
          <w:szCs w:val="20"/>
        </w:rPr>
        <w:t xml:space="preserve"> prawnych, aktów wykonawczych z </w:t>
      </w:r>
      <w:r w:rsidRPr="0081760D">
        <w:rPr>
          <w:rFonts w:ascii="Arial" w:hAnsi="Arial" w:cs="Arial"/>
          <w:sz w:val="20"/>
          <w:szCs w:val="20"/>
        </w:rPr>
        <w:t>poziomu tekstu aktu.</w:t>
      </w:r>
    </w:p>
    <w:p w:rsidR="007F17C3" w:rsidRPr="0081760D" w:rsidRDefault="007F17C3" w:rsidP="002329F3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Odwołania do orzeczeń, komentarzy, monografii i tez z piśmie</w:t>
      </w:r>
      <w:r w:rsidR="002329F3">
        <w:rPr>
          <w:rFonts w:ascii="Arial" w:hAnsi="Arial" w:cs="Arial"/>
          <w:sz w:val="20"/>
          <w:szCs w:val="20"/>
        </w:rPr>
        <w:t>nnictwa z poziomu tekstu aktu i </w:t>
      </w:r>
      <w:r w:rsidRPr="0081760D">
        <w:rPr>
          <w:rFonts w:ascii="Arial" w:hAnsi="Arial" w:cs="Arial"/>
          <w:sz w:val="20"/>
          <w:szCs w:val="20"/>
        </w:rPr>
        <w:t xml:space="preserve">konkretnych jednostek redakcyjnych. </w:t>
      </w:r>
    </w:p>
    <w:p w:rsidR="007F17C3" w:rsidRPr="0081760D" w:rsidRDefault="007F17C3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17C3" w:rsidRPr="0081760D" w:rsidRDefault="007F17C3" w:rsidP="0081760D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Dziennik Urzędowy Unii Europejskie seria C – wydanie polskie</w:t>
      </w:r>
    </w:p>
    <w:p w:rsidR="007F17C3" w:rsidRPr="0081760D" w:rsidRDefault="007F17C3" w:rsidP="002329F3">
      <w:pPr>
        <w:numPr>
          <w:ilvl w:val="6"/>
          <w:numId w:val="24"/>
        </w:numPr>
        <w:tabs>
          <w:tab w:val="clear" w:pos="504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informacji formalnych o aktach opublikowanych w tym dzienniku (co najmniej: identyfikator, tytuł, organ wydający, rodzaj dokumentu, data uchwalenia lub wydania aktu, data ogłoszenia, data wejścia w życie).</w:t>
      </w:r>
    </w:p>
    <w:p w:rsidR="007F17C3" w:rsidRPr="0081760D" w:rsidRDefault="007F17C3" w:rsidP="002329F3">
      <w:pPr>
        <w:numPr>
          <w:ilvl w:val="3"/>
          <w:numId w:val="24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Ujednolicone teksty aktów prawnych ukazujących się w języku polskim opublikowane od 1 maja 2004 r. wraz z oceną co do obowiązywania.</w:t>
      </w:r>
    </w:p>
    <w:p w:rsidR="007F17C3" w:rsidRPr="0081760D" w:rsidRDefault="007F17C3" w:rsidP="002329F3">
      <w:pPr>
        <w:numPr>
          <w:ilvl w:val="3"/>
          <w:numId w:val="24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Możliwość udostępniania kolejnych wersji historycznych aktów obowiązujących i uchylonych.</w:t>
      </w:r>
    </w:p>
    <w:p w:rsidR="00827B3F" w:rsidRPr="0081760D" w:rsidRDefault="007F17C3" w:rsidP="002329F3">
      <w:pPr>
        <w:numPr>
          <w:ilvl w:val="3"/>
          <w:numId w:val="24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Wzajemne powiązania formalne między aktami (co najmniej relacje typu: zmienia – zmieniany przez, uchyla – uchylony przez, wykonuje – wykonywany przez).</w:t>
      </w:r>
    </w:p>
    <w:p w:rsidR="006C2AA1" w:rsidRPr="0081760D" w:rsidRDefault="006C2AA1" w:rsidP="0081760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17C3" w:rsidRPr="0081760D" w:rsidRDefault="007F17C3" w:rsidP="0081760D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Dzienniki Urzędowe Unii Europejskiej – polskie wydanie specjalne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Komplet informacji formalnych o aktach opublikowanych w tym dzienniku (co najmniej: identyfikator, tytuł, organ wydający, rodzaj dokumentu, data uchwalenia lub wydania aktu, data ogłoszenia, data wejścia w życie).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Wszystkie akty obowiązujące oraz oczekujące.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Ujednolicone teksty aktów prawnych ukazujących się w języku polskim opublikowane od 1 maja 2004 r. wraz z oceną co do obowiązywania.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Możliwość udostępniania kolejnych wersji historycznych aktów obowiązujących i uchylonych.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Wzajemne powiązania formalne między aktami (co najmniej relacje typu: zmienia – zmieniony przez, uchyla – uchylony przez, wykonuje – wykonywany przez).</w:t>
      </w:r>
    </w:p>
    <w:p w:rsidR="007F17C3" w:rsidRPr="0081760D" w:rsidRDefault="007F17C3" w:rsidP="002329F3">
      <w:pPr>
        <w:numPr>
          <w:ilvl w:val="0"/>
          <w:numId w:val="3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Odwołania do orzeczeń, komentarzy, monografii i tez z piśmie</w:t>
      </w:r>
      <w:r w:rsidR="002329F3">
        <w:rPr>
          <w:rFonts w:ascii="Arial" w:hAnsi="Arial" w:cs="Arial"/>
          <w:sz w:val="20"/>
          <w:szCs w:val="20"/>
        </w:rPr>
        <w:t>nnictwa z poziomu tekstu aktu i </w:t>
      </w:r>
      <w:r w:rsidRPr="0081760D">
        <w:rPr>
          <w:rFonts w:ascii="Arial" w:hAnsi="Arial" w:cs="Arial"/>
          <w:sz w:val="20"/>
          <w:szCs w:val="20"/>
        </w:rPr>
        <w:t>konkretnej jednostki redakcyjnej.</w:t>
      </w:r>
    </w:p>
    <w:p w:rsidR="002329F3" w:rsidRPr="002329F3" w:rsidRDefault="002329F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bookmarkStart w:id="2" w:name="_Toc424025106"/>
    </w:p>
    <w:p w:rsidR="007F17C3" w:rsidRPr="0081760D" w:rsidRDefault="007F17C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Cs w:val="0"/>
          <w:i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bCs w:val="0"/>
          <w:color w:val="000000" w:themeColor="text1"/>
          <w:sz w:val="20"/>
          <w:szCs w:val="20"/>
        </w:rPr>
        <w:t>Orzecznictwo sądów, administracji i pisma urzędowe</w:t>
      </w:r>
      <w:bookmarkEnd w:id="2"/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Orzeczenia Sądu Najwyższego nie mniej niż 15</w:t>
      </w:r>
      <w:r w:rsidR="000E4971" w:rsidRPr="0081760D">
        <w:rPr>
          <w:rFonts w:ascii="Arial" w:hAnsi="Arial" w:cs="Arial"/>
          <w:bCs/>
          <w:sz w:val="20"/>
          <w:szCs w:val="20"/>
        </w:rPr>
        <w:t>0</w:t>
      </w:r>
      <w:r w:rsidRPr="0081760D">
        <w:rPr>
          <w:rFonts w:ascii="Arial" w:hAnsi="Arial" w:cs="Arial"/>
          <w:bCs/>
          <w:sz w:val="20"/>
          <w:szCs w:val="20"/>
        </w:rPr>
        <w:t xml:space="preserve"> tys., Naczelnego Sądu Administracyjnego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20</w:t>
      </w:r>
      <w:r w:rsidRPr="0081760D">
        <w:rPr>
          <w:rFonts w:ascii="Arial" w:hAnsi="Arial" w:cs="Arial"/>
          <w:bCs/>
          <w:sz w:val="20"/>
          <w:szCs w:val="20"/>
        </w:rPr>
        <w:t>0 tys., Wojewódzkich Sądów Administracyjnych nie mniej niż 90</w:t>
      </w:r>
      <w:r w:rsidR="000E4971" w:rsidRPr="0081760D">
        <w:rPr>
          <w:rFonts w:ascii="Arial" w:hAnsi="Arial" w:cs="Arial"/>
          <w:bCs/>
          <w:sz w:val="20"/>
          <w:szCs w:val="20"/>
        </w:rPr>
        <w:t>0</w:t>
      </w:r>
      <w:r w:rsidRPr="0081760D">
        <w:rPr>
          <w:rFonts w:ascii="Arial" w:hAnsi="Arial" w:cs="Arial"/>
          <w:bCs/>
          <w:sz w:val="20"/>
          <w:szCs w:val="20"/>
        </w:rPr>
        <w:t xml:space="preserve"> tys., Trybunału Konstytucyjnego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10</w:t>
      </w:r>
      <w:r w:rsidRPr="0081760D">
        <w:rPr>
          <w:rFonts w:ascii="Arial" w:hAnsi="Arial" w:cs="Arial"/>
          <w:bCs/>
          <w:sz w:val="20"/>
          <w:szCs w:val="20"/>
        </w:rPr>
        <w:t xml:space="preserve"> tys. oraz sądów apelacyjnych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60</w:t>
      </w:r>
      <w:r w:rsidRPr="0081760D">
        <w:rPr>
          <w:rFonts w:ascii="Arial" w:hAnsi="Arial" w:cs="Arial"/>
          <w:bCs/>
          <w:sz w:val="20"/>
          <w:szCs w:val="20"/>
        </w:rPr>
        <w:t xml:space="preserve"> tys.</w:t>
      </w:r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 xml:space="preserve">Orzecznictwo Głównej Komisji Orzekającej w Sprawach o Naruszenie Dyscypliny Finansów Publicznych przy Ministerstwie Finansów nie mniej niż 1500, Regionalnych Izb Obrachunkowych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10</w:t>
      </w:r>
      <w:r w:rsidRPr="0081760D">
        <w:rPr>
          <w:rFonts w:ascii="Arial" w:hAnsi="Arial" w:cs="Arial"/>
          <w:bCs/>
          <w:sz w:val="20"/>
          <w:szCs w:val="20"/>
        </w:rPr>
        <w:t xml:space="preserve"> tys., Samorządowych Kolegiów Odwoławczych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1 tys.</w:t>
      </w:r>
      <w:r w:rsidRPr="0081760D">
        <w:rPr>
          <w:rFonts w:ascii="Arial" w:hAnsi="Arial" w:cs="Arial"/>
          <w:bCs/>
          <w:sz w:val="20"/>
          <w:szCs w:val="20"/>
        </w:rPr>
        <w:t>, wojewodów nie mniej niż 1</w:t>
      </w:r>
      <w:r w:rsidR="000E4971" w:rsidRPr="0081760D">
        <w:rPr>
          <w:rFonts w:ascii="Arial" w:hAnsi="Arial" w:cs="Arial"/>
          <w:bCs/>
          <w:sz w:val="20"/>
          <w:szCs w:val="20"/>
        </w:rPr>
        <w:t>5</w:t>
      </w:r>
      <w:r w:rsidRPr="0081760D">
        <w:rPr>
          <w:rFonts w:ascii="Arial" w:hAnsi="Arial" w:cs="Arial"/>
          <w:bCs/>
          <w:sz w:val="20"/>
          <w:szCs w:val="20"/>
        </w:rPr>
        <w:t xml:space="preserve"> tys.; Orzeczenia Zespołu Arbitrów nie mniej niż 8 tys. i Krajowej Izby Odwoławczej przy Prezesie Urzędu Zamówień Publicznych nie mniej niż </w:t>
      </w:r>
      <w:r w:rsidR="000E4971" w:rsidRPr="0081760D">
        <w:rPr>
          <w:rFonts w:ascii="Arial" w:hAnsi="Arial" w:cs="Arial"/>
          <w:bCs/>
          <w:sz w:val="20"/>
          <w:szCs w:val="20"/>
        </w:rPr>
        <w:t>20</w:t>
      </w:r>
      <w:r w:rsidRPr="0081760D">
        <w:rPr>
          <w:rFonts w:ascii="Arial" w:hAnsi="Arial" w:cs="Arial"/>
          <w:bCs/>
          <w:sz w:val="20"/>
          <w:szCs w:val="20"/>
        </w:rPr>
        <w:t xml:space="preserve"> tys.</w:t>
      </w:r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Pisma urzędowe w tym: Ministerstwa Finansów nie mniej niż 7 tysięcy, Izby i urzędy skarbowe nie mniej niż 2</w:t>
      </w:r>
      <w:r w:rsidR="000E4971" w:rsidRPr="0081760D">
        <w:rPr>
          <w:rFonts w:ascii="Arial" w:hAnsi="Arial" w:cs="Arial"/>
          <w:bCs/>
          <w:sz w:val="20"/>
          <w:szCs w:val="20"/>
        </w:rPr>
        <w:t>9</w:t>
      </w:r>
      <w:r w:rsidRPr="0081760D">
        <w:rPr>
          <w:rFonts w:ascii="Arial" w:hAnsi="Arial" w:cs="Arial"/>
          <w:bCs/>
          <w:sz w:val="20"/>
          <w:szCs w:val="20"/>
        </w:rPr>
        <w:t>0 tysięcy.</w:t>
      </w:r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Ocena co do aktualności tez orzeczeń i pism urzędowych, wraz z czytelnym oznaczeniem na listach wynikowych.</w:t>
      </w:r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Orzeczenia strasburskie (Europejski Trybunał Praw Człowieka, Europejska Komisja Praw Człowieka, Komitet Ministrów Rady Europy) nie mniej niż 40 tys.</w:t>
      </w:r>
    </w:p>
    <w:p w:rsidR="007F17C3" w:rsidRPr="0081760D" w:rsidRDefault="007F17C3" w:rsidP="002329F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lastRenderedPageBreak/>
        <w:t>Orzeczenia luksemburskie (Trybunał Sprawiedliwości, Sąd do spraw służby publicznej, Sąd (dawniej Sąd Pierwszej Instancji) nie mniej niż 18 tys.</w:t>
      </w:r>
    </w:p>
    <w:p w:rsidR="002329F3" w:rsidRPr="002329F3" w:rsidRDefault="002329F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bookmarkStart w:id="3" w:name="_Toc424025107"/>
    </w:p>
    <w:p w:rsidR="00FC3A70" w:rsidRPr="0081760D" w:rsidRDefault="00FC3A70" w:rsidP="0081760D">
      <w:pPr>
        <w:pStyle w:val="Nagwek2"/>
        <w:spacing w:before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4" w:name="_Toc475385987"/>
      <w:bookmarkEnd w:id="3"/>
      <w:r w:rsidRPr="0081760D">
        <w:rPr>
          <w:rFonts w:ascii="Arial" w:hAnsi="Arial" w:cs="Arial"/>
          <w:color w:val="000000" w:themeColor="text1"/>
          <w:sz w:val="20"/>
          <w:szCs w:val="20"/>
        </w:rPr>
        <w:t>Procedury</w:t>
      </w:r>
      <w:bookmarkEnd w:id="4"/>
    </w:p>
    <w:p w:rsidR="00FC3A70" w:rsidRPr="0081760D" w:rsidRDefault="00FC3A70" w:rsidP="002329F3">
      <w:pPr>
        <w:pStyle w:val="Akapitzlist"/>
        <w:numPr>
          <w:ilvl w:val="0"/>
          <w:numId w:val="37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81760D">
        <w:rPr>
          <w:rFonts w:ascii="Arial" w:hAnsi="Arial" w:cs="Arial"/>
          <w:bCs/>
          <w:sz w:val="20"/>
          <w:szCs w:val="20"/>
        </w:rPr>
        <w:t>System interaktywnych schematów opisujących - krok po kroku - czynności uczestników postępowań uregulowanych przepisami.</w:t>
      </w:r>
    </w:p>
    <w:p w:rsidR="00FC3A70" w:rsidRPr="0081760D" w:rsidRDefault="00FC3A70" w:rsidP="002329F3">
      <w:pPr>
        <w:numPr>
          <w:ilvl w:val="0"/>
          <w:numId w:val="37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/>
          <w:bCs/>
          <w:sz w:val="20"/>
          <w:szCs w:val="20"/>
        </w:rPr>
        <w:t>Praktyczne wskazówki komentujące poszczególne kroki postępowania;</w:t>
      </w:r>
      <w:r w:rsidRPr="0081760D">
        <w:rPr>
          <w:rFonts w:ascii="Arial" w:hAnsi="Arial" w:cs="Arial"/>
          <w:bCs/>
          <w:sz w:val="20"/>
          <w:szCs w:val="20"/>
        </w:rPr>
        <w:t xml:space="preserve"> wizualizacja różnych scenariuszy przebiegu postępowania oraz terminów do dokonania czynności w postępowaniu; wersje czasowe procedur; relacje między procedurami (np. poprzedzająca, następująca).</w:t>
      </w:r>
    </w:p>
    <w:p w:rsidR="00FC3A70" w:rsidRPr="0081760D" w:rsidRDefault="00FC3A70" w:rsidP="002329F3">
      <w:pPr>
        <w:numPr>
          <w:ilvl w:val="0"/>
          <w:numId w:val="37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/>
          <w:bCs/>
          <w:sz w:val="20"/>
          <w:szCs w:val="20"/>
        </w:rPr>
        <w:t>Ocena co do aktualności procedur i dostęp do archiwalnych wersji procedur.</w:t>
      </w:r>
    </w:p>
    <w:p w:rsidR="00FC3A70" w:rsidRPr="0081760D" w:rsidRDefault="00FC3A70" w:rsidP="0081760D">
      <w:pPr>
        <w:pStyle w:val="Akapitzlist"/>
        <w:tabs>
          <w:tab w:val="left" w:pos="567"/>
        </w:tabs>
        <w:spacing w:after="0" w:line="240" w:lineRule="auto"/>
        <w:ind w:left="0"/>
        <w:contextualSpacing w:val="0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:rsidR="00FC3A70" w:rsidRPr="0081760D" w:rsidRDefault="00FC3A70" w:rsidP="0081760D">
      <w:pPr>
        <w:pStyle w:val="Nagwek2"/>
        <w:spacing w:before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Zegar legislacyjny</w:t>
      </w:r>
    </w:p>
    <w:p w:rsidR="00FC3A70" w:rsidRPr="0081760D" w:rsidRDefault="00FC3A70" w:rsidP="002329F3">
      <w:pPr>
        <w:pStyle w:val="Akapitzlist"/>
        <w:numPr>
          <w:ilvl w:val="0"/>
          <w:numId w:val="38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color w:val="000000" w:themeColor="text1"/>
          <w:sz w:val="20"/>
          <w:szCs w:val="20"/>
          <w:lang w:eastAsia="pl-PL"/>
        </w:rPr>
        <w:t>Możliwość wskazania aktów prawa miejscowego, których podstawa prawna w najbliższym czasie zostanie zmieniona bądź uchylona</w:t>
      </w:r>
    </w:p>
    <w:p w:rsidR="00FC3A70" w:rsidRPr="0081760D" w:rsidRDefault="00FC3A70" w:rsidP="002329F3">
      <w:pPr>
        <w:pStyle w:val="Akapitzlist"/>
        <w:numPr>
          <w:ilvl w:val="0"/>
          <w:numId w:val="38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color w:val="000000" w:themeColor="text1"/>
          <w:sz w:val="20"/>
          <w:szCs w:val="20"/>
          <w:lang w:eastAsia="pl-PL"/>
        </w:rPr>
        <w:t>Możliwość wskazania aktów wykonawczych prawa powszechnego, których podstawa prawna zostanie w najbliższym czasie zmieniona bądź uchylona.</w:t>
      </w:r>
    </w:p>
    <w:p w:rsidR="00FC3A70" w:rsidRDefault="00FC3A70" w:rsidP="002329F3">
      <w:pPr>
        <w:pStyle w:val="Akapitzlist"/>
        <w:numPr>
          <w:ilvl w:val="0"/>
          <w:numId w:val="38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color w:val="000000" w:themeColor="text1"/>
          <w:sz w:val="20"/>
          <w:szCs w:val="20"/>
          <w:lang w:eastAsia="pl-PL"/>
        </w:rPr>
        <w:t>Możliwość personalizacji w zakresie profilu, w ramach którego można zdefiniować autora i/lub regionu (np. Warszawa).</w:t>
      </w:r>
    </w:p>
    <w:p w:rsidR="002329F3" w:rsidRPr="0081760D" w:rsidRDefault="002329F3" w:rsidP="002329F3">
      <w:pPr>
        <w:pStyle w:val="Akapitzlist"/>
        <w:tabs>
          <w:tab w:val="left" w:pos="567"/>
        </w:tabs>
        <w:spacing w:after="0" w:line="240" w:lineRule="auto"/>
        <w:ind w:left="0"/>
        <w:contextualSpacing w:val="0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:rsidR="00FC3A70" w:rsidRPr="0081760D" w:rsidRDefault="00FC3A70" w:rsidP="0081760D">
      <w:pPr>
        <w:pStyle w:val="Nagwek2"/>
        <w:spacing w:before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Linie orzecznicze</w:t>
      </w:r>
    </w:p>
    <w:p w:rsidR="00FC3A70" w:rsidRPr="0081760D" w:rsidRDefault="00FC3A70" w:rsidP="002329F3">
      <w:pPr>
        <w:numPr>
          <w:ilvl w:val="0"/>
          <w:numId w:val="39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bCs/>
          <w:color w:val="000000" w:themeColor="text1"/>
          <w:sz w:val="20"/>
          <w:szCs w:val="20"/>
        </w:rPr>
        <w:t>Linie orzecznicze wskazujące różne poglądy w judykaturze.</w:t>
      </w:r>
    </w:p>
    <w:p w:rsidR="00FC3A70" w:rsidRPr="0081760D" w:rsidRDefault="00FC3A70" w:rsidP="002329F3">
      <w:pPr>
        <w:pStyle w:val="Akapitzlist"/>
        <w:numPr>
          <w:ilvl w:val="0"/>
          <w:numId w:val="39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color w:val="000000" w:themeColor="text1"/>
          <w:sz w:val="20"/>
          <w:szCs w:val="20"/>
          <w:lang w:eastAsia="pl-PL"/>
        </w:rPr>
        <w:t>Dostęp do linii z poziomu jednostek redakcyjnych aktów prawnych.</w:t>
      </w:r>
    </w:p>
    <w:p w:rsidR="00FC3A70" w:rsidRPr="0081760D" w:rsidRDefault="00FC3A70" w:rsidP="002329F3">
      <w:pPr>
        <w:pStyle w:val="Akapitzlist"/>
        <w:numPr>
          <w:ilvl w:val="0"/>
          <w:numId w:val="39"/>
        </w:numPr>
        <w:tabs>
          <w:tab w:val="clear" w:pos="1080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color w:val="000000" w:themeColor="text1"/>
          <w:sz w:val="20"/>
          <w:szCs w:val="20"/>
          <w:lang w:eastAsia="pl-PL"/>
        </w:rPr>
        <w:t>Dostęp do linii orzeczniczych z poziomu orzeczeń.</w:t>
      </w:r>
    </w:p>
    <w:p w:rsidR="002329F3" w:rsidRPr="002329F3" w:rsidRDefault="002329F3" w:rsidP="0081760D">
      <w:pPr>
        <w:tabs>
          <w:tab w:val="left" w:pos="567"/>
        </w:tabs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:rsidR="007038E0" w:rsidRPr="0081760D" w:rsidRDefault="00FC3A70" w:rsidP="0081760D">
      <w:pPr>
        <w:tabs>
          <w:tab w:val="left" w:pos="567"/>
        </w:tabs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</w:pPr>
      <w:r w:rsidRPr="0081760D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Szkolenia on-line</w:t>
      </w:r>
    </w:p>
    <w:p w:rsidR="007038E0" w:rsidRPr="0081760D" w:rsidRDefault="007038E0" w:rsidP="002329F3">
      <w:pPr>
        <w:numPr>
          <w:ilvl w:val="0"/>
          <w:numId w:val="40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Szkolenia on-line z możliwością zadawania pytań, z zakresu: prawa pracy, prawa budowlanego oraz prawa zamówień publicznych.</w:t>
      </w:r>
    </w:p>
    <w:p w:rsidR="007038E0" w:rsidRPr="0081760D" w:rsidRDefault="007038E0" w:rsidP="002329F3">
      <w:pPr>
        <w:numPr>
          <w:ilvl w:val="0"/>
          <w:numId w:val="40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odtworzenia szkoleń, które odbyły się wcześniej.</w:t>
      </w:r>
    </w:p>
    <w:p w:rsidR="00FC3A70" w:rsidRPr="0081760D" w:rsidRDefault="00FC3A70" w:rsidP="0081760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7F17C3" w:rsidRPr="0081760D" w:rsidRDefault="007F17C3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 w:val="0"/>
          <w:bCs w:val="0"/>
          <w:i/>
          <w:color w:val="000000" w:themeColor="text1"/>
          <w:sz w:val="20"/>
          <w:szCs w:val="20"/>
        </w:rPr>
      </w:pPr>
      <w:bookmarkStart w:id="5" w:name="_Toc424025108"/>
      <w:r w:rsidRPr="0081760D">
        <w:rPr>
          <w:rFonts w:ascii="Arial" w:hAnsi="Arial" w:cs="Arial"/>
          <w:bCs w:val="0"/>
          <w:color w:val="000000" w:themeColor="text1"/>
          <w:sz w:val="20"/>
          <w:szCs w:val="20"/>
        </w:rPr>
        <w:t>Komentarze</w:t>
      </w:r>
      <w:bookmarkEnd w:id="5"/>
    </w:p>
    <w:p w:rsidR="007F17C3" w:rsidRPr="0081760D" w:rsidRDefault="007F17C3" w:rsidP="0081760D">
      <w:pPr>
        <w:tabs>
          <w:tab w:val="left" w:pos="567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Baza komentarzy zawiera między innymi:</w:t>
      </w:r>
    </w:p>
    <w:p w:rsidR="00827B3F" w:rsidRPr="0081760D" w:rsidRDefault="007F17C3" w:rsidP="002329F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>Komentarze do aktów prawa polskiego i europejskiego</w:t>
      </w:r>
      <w:r w:rsidR="00827B3F" w:rsidRPr="0081760D">
        <w:rPr>
          <w:rFonts w:ascii="Arial" w:hAnsi="Arial" w:cs="Arial"/>
          <w:bCs/>
          <w:sz w:val="20"/>
          <w:szCs w:val="20"/>
        </w:rPr>
        <w:t>,</w:t>
      </w:r>
      <w:r w:rsidR="00827B3F" w:rsidRPr="0081760D">
        <w:rPr>
          <w:rFonts w:ascii="Arial" w:hAnsi="Arial" w:cs="Arial"/>
          <w:bCs/>
          <w:color w:val="000000"/>
          <w:sz w:val="20"/>
          <w:szCs w:val="20"/>
        </w:rPr>
        <w:t xml:space="preserve"> m.in. Wydawnictw: Wolters Kluwer, </w:t>
      </w:r>
      <w:proofErr w:type="spellStart"/>
      <w:r w:rsidR="00827B3F" w:rsidRPr="0081760D">
        <w:rPr>
          <w:rFonts w:ascii="Arial" w:hAnsi="Arial" w:cs="Arial"/>
          <w:bCs/>
          <w:color w:val="000000"/>
          <w:sz w:val="20"/>
          <w:szCs w:val="20"/>
        </w:rPr>
        <w:t>Lexis</w:t>
      </w:r>
      <w:proofErr w:type="spellEnd"/>
      <w:r w:rsidR="00827B3F" w:rsidRPr="0081760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827B3F" w:rsidRPr="0081760D">
        <w:rPr>
          <w:rFonts w:ascii="Arial" w:hAnsi="Arial" w:cs="Arial"/>
          <w:bCs/>
          <w:color w:val="000000"/>
          <w:sz w:val="20"/>
          <w:szCs w:val="20"/>
        </w:rPr>
        <w:t>Nexis</w:t>
      </w:r>
      <w:proofErr w:type="spellEnd"/>
      <w:r w:rsidR="00827B3F" w:rsidRPr="0081760D">
        <w:rPr>
          <w:rFonts w:ascii="Arial" w:hAnsi="Arial" w:cs="Arial"/>
          <w:bCs/>
          <w:color w:val="000000"/>
          <w:sz w:val="20"/>
          <w:szCs w:val="20"/>
        </w:rPr>
        <w:t xml:space="preserve"> – ogółem nie niej niż 1500</w:t>
      </w:r>
    </w:p>
    <w:p w:rsidR="007F17C3" w:rsidRPr="0081760D" w:rsidRDefault="007F17C3" w:rsidP="002329F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 xml:space="preserve">Komentarze, w tym skomentowana część jednostek redakcyjnych: </w:t>
      </w:r>
      <w:proofErr w:type="spellStart"/>
      <w:r w:rsidRPr="0081760D">
        <w:rPr>
          <w:rFonts w:ascii="Arial" w:hAnsi="Arial" w:cs="Arial"/>
          <w:bCs/>
          <w:sz w:val="20"/>
          <w:szCs w:val="20"/>
        </w:rPr>
        <w:t>Kc</w:t>
      </w:r>
      <w:proofErr w:type="spellEnd"/>
      <w:r w:rsidRPr="0081760D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81760D">
        <w:rPr>
          <w:rFonts w:ascii="Arial" w:hAnsi="Arial" w:cs="Arial"/>
          <w:bCs/>
          <w:sz w:val="20"/>
          <w:szCs w:val="20"/>
        </w:rPr>
        <w:t>Ksh</w:t>
      </w:r>
      <w:proofErr w:type="spellEnd"/>
      <w:r w:rsidRPr="0081760D">
        <w:rPr>
          <w:rFonts w:ascii="Arial" w:hAnsi="Arial" w:cs="Arial"/>
          <w:bCs/>
          <w:sz w:val="20"/>
          <w:szCs w:val="20"/>
        </w:rPr>
        <w:t>, K</w:t>
      </w:r>
      <w:r w:rsidR="006C2AA1" w:rsidRPr="0081760D">
        <w:rPr>
          <w:rFonts w:ascii="Arial" w:hAnsi="Arial" w:cs="Arial"/>
          <w:bCs/>
          <w:sz w:val="20"/>
          <w:szCs w:val="20"/>
        </w:rPr>
        <w:t>K,</w:t>
      </w:r>
      <w:r w:rsidRPr="0081760D">
        <w:rPr>
          <w:rFonts w:ascii="Arial" w:hAnsi="Arial" w:cs="Arial"/>
          <w:bCs/>
          <w:sz w:val="20"/>
          <w:szCs w:val="20"/>
        </w:rPr>
        <w:t xml:space="preserve"> ,</w:t>
      </w:r>
      <w:proofErr w:type="spellStart"/>
      <w:r w:rsidRPr="0081760D">
        <w:rPr>
          <w:rFonts w:ascii="Arial" w:hAnsi="Arial" w:cs="Arial"/>
          <w:bCs/>
          <w:sz w:val="20"/>
          <w:szCs w:val="20"/>
        </w:rPr>
        <w:t>Kp</w:t>
      </w:r>
      <w:proofErr w:type="spellEnd"/>
      <w:r w:rsidRPr="0081760D">
        <w:rPr>
          <w:rFonts w:ascii="Arial" w:hAnsi="Arial" w:cs="Arial"/>
          <w:bCs/>
          <w:sz w:val="20"/>
          <w:szCs w:val="20"/>
        </w:rPr>
        <w:t xml:space="preserve">, Kpa, </w:t>
      </w:r>
      <w:proofErr w:type="spellStart"/>
      <w:r w:rsidRPr="0081760D">
        <w:rPr>
          <w:rFonts w:ascii="Arial" w:hAnsi="Arial" w:cs="Arial"/>
          <w:bCs/>
          <w:sz w:val="20"/>
          <w:szCs w:val="20"/>
        </w:rPr>
        <w:t>Kc</w:t>
      </w:r>
      <w:proofErr w:type="spellEnd"/>
      <w:r w:rsidRPr="0081760D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81760D">
        <w:rPr>
          <w:rFonts w:ascii="Arial" w:hAnsi="Arial" w:cs="Arial"/>
          <w:bCs/>
          <w:sz w:val="20"/>
          <w:szCs w:val="20"/>
        </w:rPr>
        <w:t>Kpc</w:t>
      </w:r>
      <w:proofErr w:type="spellEnd"/>
      <w:r w:rsidRPr="0081760D">
        <w:rPr>
          <w:rFonts w:ascii="Arial" w:hAnsi="Arial" w:cs="Arial"/>
          <w:bCs/>
          <w:sz w:val="20"/>
          <w:szCs w:val="20"/>
        </w:rPr>
        <w:t>, K</w:t>
      </w:r>
      <w:r w:rsidR="006C2AA1" w:rsidRPr="0081760D">
        <w:rPr>
          <w:rFonts w:ascii="Arial" w:hAnsi="Arial" w:cs="Arial"/>
          <w:bCs/>
          <w:sz w:val="20"/>
          <w:szCs w:val="20"/>
        </w:rPr>
        <w:t>PK</w:t>
      </w:r>
      <w:r w:rsidRPr="0081760D">
        <w:rPr>
          <w:rFonts w:ascii="Arial" w:hAnsi="Arial" w:cs="Arial"/>
          <w:bCs/>
          <w:sz w:val="20"/>
          <w:szCs w:val="20"/>
        </w:rPr>
        <w:t>, K</w:t>
      </w:r>
      <w:r w:rsidR="006C2AA1" w:rsidRPr="0081760D">
        <w:rPr>
          <w:rFonts w:ascii="Arial" w:hAnsi="Arial" w:cs="Arial"/>
          <w:bCs/>
          <w:sz w:val="20"/>
          <w:szCs w:val="20"/>
        </w:rPr>
        <w:t>KS</w:t>
      </w:r>
      <w:r w:rsidR="00FC3A70" w:rsidRPr="0081760D">
        <w:rPr>
          <w:rFonts w:ascii="Arial" w:hAnsi="Arial" w:cs="Arial"/>
          <w:bCs/>
          <w:sz w:val="20"/>
          <w:szCs w:val="20"/>
        </w:rPr>
        <w:t>, ustaw podatkowych. Prawa Budowlanego, Prawa Ochrony Środowiska.</w:t>
      </w:r>
    </w:p>
    <w:p w:rsidR="00827B3F" w:rsidRDefault="007F17C3" w:rsidP="002329F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1760D">
        <w:rPr>
          <w:rFonts w:ascii="Arial" w:hAnsi="Arial" w:cs="Arial"/>
          <w:bCs/>
          <w:sz w:val="20"/>
          <w:szCs w:val="20"/>
        </w:rPr>
        <w:t xml:space="preserve">Wybór komentarzy (nie mniej niż 3 do ustaw kodeksowych) aktualizowanych po </w:t>
      </w:r>
      <w:r w:rsidR="006C2AA1" w:rsidRPr="0081760D">
        <w:rPr>
          <w:rFonts w:ascii="Arial" w:hAnsi="Arial" w:cs="Arial"/>
          <w:bCs/>
          <w:sz w:val="20"/>
          <w:szCs w:val="20"/>
        </w:rPr>
        <w:t xml:space="preserve">ważniejszych </w:t>
      </w:r>
      <w:r w:rsidRPr="0081760D">
        <w:rPr>
          <w:rFonts w:ascii="Arial" w:hAnsi="Arial" w:cs="Arial"/>
          <w:bCs/>
          <w:sz w:val="20"/>
          <w:szCs w:val="20"/>
        </w:rPr>
        <w:t>zmianach w prawie.</w:t>
      </w:r>
    </w:p>
    <w:p w:rsidR="002329F3" w:rsidRPr="0081760D" w:rsidRDefault="002329F3" w:rsidP="002329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B5B18" w:rsidRPr="0081760D" w:rsidRDefault="00DB5B18" w:rsidP="0081760D">
      <w:pPr>
        <w:pStyle w:val="Nagwek2"/>
        <w:tabs>
          <w:tab w:val="left" w:pos="567"/>
        </w:tabs>
        <w:spacing w:before="0" w:line="240" w:lineRule="auto"/>
        <w:rPr>
          <w:rFonts w:ascii="Arial" w:hAnsi="Arial" w:cs="Arial"/>
          <w:bCs w:val="0"/>
          <w:i/>
          <w:color w:val="000000"/>
          <w:sz w:val="20"/>
          <w:szCs w:val="20"/>
        </w:rPr>
      </w:pPr>
      <w:r w:rsidRPr="0081760D">
        <w:rPr>
          <w:rFonts w:ascii="Arial" w:hAnsi="Arial" w:cs="Arial"/>
          <w:bCs w:val="0"/>
          <w:color w:val="000000"/>
          <w:sz w:val="20"/>
          <w:szCs w:val="20"/>
        </w:rPr>
        <w:t>Zamówienia Publiczne</w:t>
      </w:r>
    </w:p>
    <w:p w:rsidR="00DB5B18" w:rsidRPr="0081760D" w:rsidRDefault="00DB5B18" w:rsidP="002329F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bCs/>
          <w:color w:val="000000"/>
          <w:sz w:val="20"/>
          <w:szCs w:val="20"/>
        </w:rPr>
        <w:t>Wyselekcjonowane, kompleksowe opracowania dotycz</w:t>
      </w:r>
      <w:r w:rsidR="002329F3">
        <w:rPr>
          <w:rFonts w:ascii="Arial" w:hAnsi="Arial" w:cs="Arial"/>
          <w:bCs/>
          <w:color w:val="000000"/>
          <w:sz w:val="20"/>
          <w:szCs w:val="20"/>
        </w:rPr>
        <w:t>ące zamówień publicznych wraz z </w:t>
      </w:r>
      <w:r w:rsidRPr="0081760D">
        <w:rPr>
          <w:rFonts w:ascii="Arial" w:hAnsi="Arial" w:cs="Arial"/>
          <w:bCs/>
          <w:color w:val="000000"/>
          <w:sz w:val="20"/>
          <w:szCs w:val="20"/>
        </w:rPr>
        <w:t xml:space="preserve">wyjaśnieniami i odpowiedziami na pytania z tej dziedziny, przykładami praktycznego zastosowania i omówieniem kolejnych etapów postępowania oraz wyszukiwarką Wspólnotowego Słownika Zamówień (CPV), wzorami SIWZ z komentarzami, pismami </w:t>
      </w:r>
      <w:r w:rsidRPr="0081760D">
        <w:rPr>
          <w:rFonts w:ascii="Arial" w:hAnsi="Arial" w:cs="Arial"/>
          <w:bCs/>
          <w:color w:val="000000" w:themeColor="text1"/>
          <w:sz w:val="20"/>
          <w:szCs w:val="20"/>
        </w:rPr>
        <w:t>urzędowymi oraz studiami przypadków.</w:t>
      </w:r>
    </w:p>
    <w:p w:rsidR="00DB5B18" w:rsidRPr="0081760D" w:rsidRDefault="00DB5B18" w:rsidP="002329F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bCs/>
          <w:color w:val="000000" w:themeColor="text1"/>
          <w:sz w:val="20"/>
          <w:szCs w:val="20"/>
        </w:rPr>
        <w:t>Możliwość zadawania pytań ekspertom z dziedziny zamówień publicznych z gwarancją odpowiedzi pisemnej w ciągu 7 dni roboczych.</w:t>
      </w:r>
    </w:p>
    <w:p w:rsidR="00DB5B18" w:rsidRPr="0081760D" w:rsidRDefault="00F608E5" w:rsidP="002329F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Minimum </w:t>
      </w:r>
      <w:r w:rsidRPr="00F608E5">
        <w:rPr>
          <w:rFonts w:ascii="Arial" w:hAnsi="Arial" w:cs="Arial"/>
          <w:b/>
          <w:bCs/>
          <w:color w:val="000000" w:themeColor="text1"/>
          <w:sz w:val="20"/>
          <w:szCs w:val="20"/>
        </w:rPr>
        <w:t>300</w:t>
      </w:r>
      <w:r w:rsidR="00DB5B18" w:rsidRPr="0081760D">
        <w:rPr>
          <w:rFonts w:ascii="Arial" w:hAnsi="Arial" w:cs="Arial"/>
          <w:bCs/>
          <w:color w:val="000000" w:themeColor="text1"/>
          <w:sz w:val="20"/>
          <w:szCs w:val="20"/>
        </w:rPr>
        <w:t xml:space="preserve"> komentarzy praktycznych omawiających wybrane zagadnienia dotyczące tematyki publikacji oraz minimum </w:t>
      </w:r>
      <w:r w:rsidR="000E4971" w:rsidRPr="0081760D">
        <w:rPr>
          <w:rFonts w:ascii="Arial" w:hAnsi="Arial" w:cs="Arial"/>
          <w:bCs/>
          <w:color w:val="000000" w:themeColor="text1"/>
          <w:sz w:val="20"/>
          <w:szCs w:val="20"/>
        </w:rPr>
        <w:t>5</w:t>
      </w:r>
      <w:r w:rsidR="00DB5B18" w:rsidRPr="0081760D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0E4971" w:rsidRPr="0081760D">
        <w:rPr>
          <w:rFonts w:ascii="Arial" w:hAnsi="Arial" w:cs="Arial"/>
          <w:bCs/>
          <w:color w:val="000000" w:themeColor="text1"/>
          <w:sz w:val="20"/>
          <w:szCs w:val="20"/>
        </w:rPr>
        <w:t>0</w:t>
      </w:r>
      <w:r w:rsidR="00DB5B18" w:rsidRPr="0081760D">
        <w:rPr>
          <w:rFonts w:ascii="Arial" w:hAnsi="Arial" w:cs="Arial"/>
          <w:bCs/>
          <w:color w:val="000000" w:themeColor="text1"/>
          <w:sz w:val="20"/>
          <w:szCs w:val="20"/>
        </w:rPr>
        <w:t>00 gotowych odpowiedzi na realne pytania użytkowników wraz z oceną ich co do aktualności.</w:t>
      </w:r>
    </w:p>
    <w:p w:rsidR="006D2ED6" w:rsidRPr="0081760D" w:rsidRDefault="006D2ED6" w:rsidP="0081760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F17C3" w:rsidRPr="0081760D" w:rsidRDefault="00B56152" w:rsidP="0081760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760D">
        <w:rPr>
          <w:rFonts w:ascii="Arial" w:hAnsi="Arial" w:cs="Arial"/>
          <w:b/>
          <w:sz w:val="20"/>
          <w:szCs w:val="20"/>
        </w:rPr>
        <w:t>WYMAGANA DOTYCZĄCE FUNKCJONALNOŚCI SYSTEMU INFORMACJ PRAWNEJ</w:t>
      </w:r>
    </w:p>
    <w:p w:rsidR="007F17C3" w:rsidRPr="0081760D" w:rsidRDefault="007F17C3" w:rsidP="002329F3">
      <w:pPr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ustawianie alertów w zakre</w:t>
      </w:r>
      <w:r w:rsidR="005D442C" w:rsidRPr="0081760D">
        <w:rPr>
          <w:rFonts w:ascii="Arial" w:hAnsi="Arial" w:cs="Arial"/>
          <w:color w:val="000000" w:themeColor="text1"/>
          <w:sz w:val="20"/>
          <w:szCs w:val="20"/>
        </w:rPr>
        <w:t>sie aktów prawnych, informujących u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żytkownik</w:t>
      </w:r>
      <w:r w:rsidR="005D442C" w:rsidRPr="0081760D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>na temat:</w:t>
      </w:r>
      <w:r w:rsidR="006C2AA1" w:rsidRPr="008176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F17C3" w:rsidRPr="0081760D" w:rsidRDefault="007F17C3" w:rsidP="002329F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zmian dotyczących całego aktu prawnego</w:t>
      </w:r>
    </w:p>
    <w:p w:rsidR="007F17C3" w:rsidRPr="0081760D" w:rsidRDefault="007F17C3" w:rsidP="002329F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zmian dotyczących konkretnej jednostki redakcyjnej (zmiany, nowe dokumenty powiązane).</w:t>
      </w:r>
    </w:p>
    <w:p w:rsidR="007F17C3" w:rsidRPr="0081760D" w:rsidRDefault="007F17C3" w:rsidP="002329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Użytkownik jest informowany o zmianach na pocztę e-mail i bezpośrednio z alertu może przejść do wskazanego dokumentu.</w:t>
      </w:r>
    </w:p>
    <w:p w:rsidR="007F17C3" w:rsidRPr="0081760D" w:rsidRDefault="005D442C" w:rsidP="002329F3">
      <w:pPr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 xml:space="preserve">Możliwość 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tworzenie folderów</w:t>
      </w:r>
      <w:r w:rsidRPr="0081760D">
        <w:rPr>
          <w:rFonts w:ascii="Arial" w:hAnsi="Arial" w:cs="Arial"/>
          <w:color w:val="000000" w:themeColor="text1"/>
          <w:sz w:val="20"/>
          <w:szCs w:val="20"/>
        </w:rPr>
        <w:t xml:space="preserve"> w Aktówce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 xml:space="preserve">. Foldery te mogą być dowolnie nazywane i użytkownik może dodawać do nich dokumenty z programu. W ramach aktówki akty prawne mogą być dodawane na określony stan prawny oraz istnieje możliwość </w:t>
      </w:r>
      <w:r w:rsidR="00DB5B18" w:rsidRPr="0081760D">
        <w:rPr>
          <w:rFonts w:ascii="Arial" w:hAnsi="Arial" w:cs="Arial"/>
          <w:color w:val="000000" w:themeColor="text1"/>
          <w:sz w:val="20"/>
          <w:szCs w:val="20"/>
        </w:rPr>
        <w:t>tworzenia notatek do dokumentów</w:t>
      </w:r>
    </w:p>
    <w:p w:rsidR="007F17C3" w:rsidRPr="0081760D" w:rsidRDefault="005D442C" w:rsidP="002329F3">
      <w:pPr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ożliwości w zakresie wyszukiwania, w tym: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lastRenderedPageBreak/>
        <w:t>Szukanie dokumentów merytorycznie powiązanych z określonym hasłem.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Szukanie tekstowe dokumentów.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wyszukiwania aktów prawa miejscowego dla określonego powiatu/gminy.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 xml:space="preserve">Możliwość wyszukiwania dokumentów poprzez </w:t>
      </w:r>
      <w:proofErr w:type="spellStart"/>
      <w:r w:rsidRPr="0081760D">
        <w:rPr>
          <w:rFonts w:ascii="Arial" w:hAnsi="Arial" w:cs="Arial"/>
          <w:color w:val="000000" w:themeColor="text1"/>
          <w:sz w:val="20"/>
          <w:szCs w:val="20"/>
        </w:rPr>
        <w:t>wielowybór</w:t>
      </w:r>
      <w:proofErr w:type="spellEnd"/>
      <w:r w:rsidRPr="0081760D">
        <w:rPr>
          <w:rFonts w:ascii="Arial" w:hAnsi="Arial" w:cs="Arial"/>
          <w:color w:val="000000" w:themeColor="text1"/>
          <w:sz w:val="20"/>
          <w:szCs w:val="20"/>
        </w:rPr>
        <w:t xml:space="preserve"> dla rodzaju, autora.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wyszukiwania poprzez skróty, sygnaturę, identyfikator.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personalizacji narzędzi wyszukiwania – użytkownik sam określa poszczególne kryteria.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przeszukiwania całej bazy wykładni.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Możliwość wielokrotnego zawężania listy wynikowej.</w:t>
      </w:r>
    </w:p>
    <w:p w:rsidR="007F17C3" w:rsidRPr="0081760D" w:rsidRDefault="007F17C3" w:rsidP="002329F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Licznik dokumentów wskazujący w trakcie wyboru kryteriów informację o oczekiwanej liście wynikowej.</w:t>
      </w:r>
    </w:p>
    <w:p w:rsidR="007F17C3" w:rsidRPr="0081760D" w:rsidRDefault="007F17C3" w:rsidP="002329F3">
      <w:pPr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Rozbudowane możliwości pracy z tekstem:</w:t>
      </w:r>
    </w:p>
    <w:p w:rsidR="007F17C3" w:rsidRPr="0081760D" w:rsidRDefault="00827B3F" w:rsidP="002329F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Ś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ledzenie zmian na całym tekście aktu prawnego w porównaniu do wersji poprzedniej.</w:t>
      </w:r>
    </w:p>
    <w:p w:rsidR="007F17C3" w:rsidRPr="0081760D" w:rsidRDefault="00827B3F" w:rsidP="002329F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ożliwość szybkiego nawigowania poprzez spis treści.</w:t>
      </w:r>
    </w:p>
    <w:p w:rsidR="007F17C3" w:rsidRPr="0081760D" w:rsidRDefault="00827B3F" w:rsidP="002329F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 xml:space="preserve">ożliwość dostępu do dokumentów powiązanych z poziomu tekstu </w:t>
      </w:r>
      <w:r w:rsidR="004E11A6">
        <w:rPr>
          <w:rFonts w:ascii="Arial" w:hAnsi="Arial" w:cs="Arial"/>
          <w:color w:val="000000" w:themeColor="text1"/>
          <w:sz w:val="20"/>
          <w:szCs w:val="20"/>
        </w:rPr>
        <w:t xml:space="preserve">aktu prawnego i jego jednostek 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redakcyjnych, w tym do pytań i odpowiedzi, komentarzy praktycznych, analiz.</w:t>
      </w:r>
    </w:p>
    <w:p w:rsidR="007F17C3" w:rsidRPr="0081760D" w:rsidRDefault="00827B3F" w:rsidP="002329F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ożliwość korzystania z f</w:t>
      </w:r>
      <w:r w:rsidR="00DB5B18" w:rsidRPr="0081760D">
        <w:rPr>
          <w:rFonts w:ascii="Arial" w:hAnsi="Arial" w:cs="Arial"/>
          <w:color w:val="000000" w:themeColor="text1"/>
          <w:sz w:val="20"/>
          <w:szCs w:val="20"/>
        </w:rPr>
        <w:t>unkcji cytowania aktów prawnych</w:t>
      </w:r>
    </w:p>
    <w:p w:rsidR="007F17C3" w:rsidRPr="0081760D" w:rsidRDefault="00827B3F" w:rsidP="002329F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M</w:t>
      </w:r>
      <w:r w:rsidR="007F17C3" w:rsidRPr="0081760D">
        <w:rPr>
          <w:rFonts w:ascii="Arial" w:hAnsi="Arial" w:cs="Arial"/>
          <w:color w:val="000000" w:themeColor="text1"/>
          <w:sz w:val="20"/>
          <w:szCs w:val="20"/>
        </w:rPr>
        <w:t>ożli</w:t>
      </w:r>
      <w:r w:rsidR="00DB5B18" w:rsidRPr="0081760D">
        <w:rPr>
          <w:rFonts w:ascii="Arial" w:hAnsi="Arial" w:cs="Arial"/>
          <w:color w:val="000000" w:themeColor="text1"/>
          <w:sz w:val="20"/>
          <w:szCs w:val="20"/>
        </w:rPr>
        <w:t>wość wysyłki e-mailem dokumentu</w:t>
      </w:r>
    </w:p>
    <w:p w:rsidR="00B56152" w:rsidRPr="0081760D" w:rsidRDefault="007F17C3" w:rsidP="002329F3">
      <w:pPr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760D">
        <w:rPr>
          <w:rFonts w:ascii="Arial" w:hAnsi="Arial" w:cs="Arial"/>
          <w:color w:val="000000" w:themeColor="text1"/>
          <w:sz w:val="20"/>
          <w:szCs w:val="20"/>
        </w:rPr>
        <w:t>Wyszukiwarka instytucji – możliwość wyszukiwania instytucji (sądy, prokuratury, urzędy skarbowe, itd.) właściwych miejscowo dla konkretnego adresu.</w:t>
      </w:r>
    </w:p>
    <w:p w:rsidR="005D442C" w:rsidRPr="0081760D" w:rsidRDefault="005D442C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27B3F" w:rsidRPr="0081760D" w:rsidRDefault="00827B3F" w:rsidP="008176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6A35" w:rsidRPr="0081760D" w:rsidRDefault="003B6A35" w:rsidP="004E11A6">
      <w:pPr>
        <w:pStyle w:val="Akapitzlist"/>
        <w:numPr>
          <w:ilvl w:val="0"/>
          <w:numId w:val="19"/>
        </w:numPr>
        <w:spacing w:after="0" w:line="240" w:lineRule="auto"/>
        <w:ind w:left="851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1760D">
        <w:rPr>
          <w:rFonts w:ascii="Arial" w:hAnsi="Arial" w:cs="Arial"/>
          <w:b/>
          <w:sz w:val="20"/>
          <w:szCs w:val="20"/>
          <w:u w:val="single"/>
        </w:rPr>
        <w:t xml:space="preserve">Szczegółowy opis </w:t>
      </w:r>
      <w:r w:rsidR="006C2AA1" w:rsidRPr="0081760D">
        <w:rPr>
          <w:rFonts w:ascii="Arial" w:hAnsi="Arial" w:cs="Arial"/>
          <w:b/>
          <w:sz w:val="20"/>
          <w:szCs w:val="20"/>
          <w:u w:val="single"/>
        </w:rPr>
        <w:t>Serwisu</w:t>
      </w:r>
      <w:r w:rsidRPr="0081760D">
        <w:rPr>
          <w:rFonts w:ascii="Arial" w:hAnsi="Arial" w:cs="Arial"/>
          <w:b/>
          <w:sz w:val="20"/>
          <w:szCs w:val="20"/>
          <w:u w:val="single"/>
        </w:rPr>
        <w:t xml:space="preserve"> Księgowego On-line </w:t>
      </w:r>
      <w:r w:rsidR="00FC3A70" w:rsidRPr="0081760D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Pr="0081760D">
        <w:rPr>
          <w:rFonts w:ascii="Arial" w:hAnsi="Arial" w:cs="Arial"/>
          <w:b/>
          <w:sz w:val="20"/>
          <w:szCs w:val="20"/>
          <w:u w:val="single"/>
        </w:rPr>
        <w:t xml:space="preserve">Serwisu </w:t>
      </w:r>
      <w:r w:rsidR="00FC3A70" w:rsidRPr="0081760D">
        <w:rPr>
          <w:rFonts w:ascii="Arial" w:hAnsi="Arial" w:cs="Arial"/>
          <w:b/>
          <w:sz w:val="20"/>
          <w:szCs w:val="20"/>
          <w:u w:val="single"/>
        </w:rPr>
        <w:t>Kadrowego</w:t>
      </w:r>
      <w:r w:rsidRPr="0081760D">
        <w:rPr>
          <w:rFonts w:ascii="Arial" w:hAnsi="Arial" w:cs="Arial"/>
          <w:b/>
          <w:sz w:val="20"/>
          <w:szCs w:val="20"/>
          <w:u w:val="single"/>
        </w:rPr>
        <w:t xml:space="preserve"> On-line</w:t>
      </w:r>
    </w:p>
    <w:p w:rsidR="002329F3" w:rsidRPr="002329F3" w:rsidRDefault="002329F3" w:rsidP="0081760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5CBC" w:rsidRPr="0081760D" w:rsidRDefault="006C2AA1" w:rsidP="008176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1760D">
        <w:rPr>
          <w:rFonts w:ascii="Arial" w:hAnsi="Arial" w:cs="Arial"/>
          <w:b/>
          <w:sz w:val="20"/>
          <w:szCs w:val="20"/>
          <w:u w:val="single"/>
        </w:rPr>
        <w:t xml:space="preserve">Serwis </w:t>
      </w:r>
      <w:r w:rsidR="006A5CBC" w:rsidRPr="0081760D">
        <w:rPr>
          <w:rFonts w:ascii="Arial" w:hAnsi="Arial" w:cs="Arial"/>
          <w:b/>
          <w:sz w:val="20"/>
          <w:szCs w:val="20"/>
          <w:u w:val="single"/>
        </w:rPr>
        <w:t>Księgow</w:t>
      </w:r>
      <w:r w:rsidRPr="0081760D">
        <w:rPr>
          <w:rFonts w:ascii="Arial" w:hAnsi="Arial" w:cs="Arial"/>
          <w:b/>
          <w:sz w:val="20"/>
          <w:szCs w:val="20"/>
          <w:u w:val="single"/>
        </w:rPr>
        <w:t xml:space="preserve">y </w:t>
      </w:r>
      <w:r w:rsidR="006A5CBC" w:rsidRPr="0081760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powi</w:t>
      </w:r>
      <w:r w:rsidRPr="0081760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nien</w:t>
      </w:r>
      <w:r w:rsidR="004E11A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zawierać:</w:t>
      </w:r>
    </w:p>
    <w:p w:rsidR="006A5CBC" w:rsidRPr="002329F3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9F3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2329F3">
        <w:rPr>
          <w:rFonts w:ascii="Arial" w:eastAsia="Times New Roman" w:hAnsi="Arial" w:cs="Arial"/>
          <w:bCs/>
          <w:sz w:val="20"/>
          <w:szCs w:val="20"/>
          <w:lang w:eastAsia="pl-PL"/>
        </w:rPr>
        <w:t>jednolicone teksty aktów</w:t>
      </w:r>
      <w:r w:rsidRPr="002329F3">
        <w:rPr>
          <w:rFonts w:ascii="Arial" w:eastAsia="Times New Roman" w:hAnsi="Arial" w:cs="Arial"/>
          <w:sz w:val="20"/>
          <w:szCs w:val="20"/>
          <w:lang w:eastAsia="pl-PL"/>
        </w:rPr>
        <w:t xml:space="preserve"> prawnych z zakresu:</w:t>
      </w:r>
    </w:p>
    <w:p w:rsidR="006A5CBC" w:rsidRPr="0081760D" w:rsidRDefault="006A5CBC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prawa podatkowego,</w:t>
      </w:r>
    </w:p>
    <w:p w:rsidR="006A5CBC" w:rsidRPr="0081760D" w:rsidRDefault="006A5CBC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rachunkowości,</w:t>
      </w:r>
    </w:p>
    <w:p w:rsidR="006A5CBC" w:rsidRPr="0081760D" w:rsidRDefault="006A5CBC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prawa pracy</w:t>
      </w:r>
    </w:p>
    <w:p w:rsidR="006A5CBC" w:rsidRPr="0081760D" w:rsidRDefault="006A5CBC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ubezpieczeń społecznych,</w:t>
      </w:r>
    </w:p>
    <w:p w:rsidR="006A5CBC" w:rsidRPr="0081760D" w:rsidRDefault="006A5CBC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oraz prawa Unii Europejskiej.</w:t>
      </w:r>
    </w:p>
    <w:p w:rsidR="006A5CBC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Orzecznictwo</w:t>
      </w:r>
      <w:r w:rsidR="00AE1823" w:rsidRPr="0081760D">
        <w:rPr>
          <w:rFonts w:ascii="Arial" w:eastAsia="Times New Roman" w:hAnsi="Arial" w:cs="Arial"/>
          <w:sz w:val="20"/>
          <w:szCs w:val="20"/>
          <w:lang w:eastAsia="pl-PL"/>
        </w:rPr>
        <w:t>. B</w:t>
      </w:r>
      <w:r w:rsidR="00AE1823" w:rsidRPr="0081760D">
        <w:rPr>
          <w:rFonts w:ascii="Arial" w:hAnsi="Arial" w:cs="Arial"/>
          <w:sz w:val="20"/>
          <w:szCs w:val="20"/>
        </w:rPr>
        <w:t>aza orzeczeń sądowych w sprawach podatkowych i z zakresu prawa pracy, wydanych przez TK, SN, NSA i WSA, jak również orzeczeń TSUE.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E1823" w:rsidRPr="0081760D" w:rsidRDefault="00AE1823" w:rsidP="002329F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1760D">
        <w:rPr>
          <w:rStyle w:val="Pogrubienie"/>
          <w:rFonts w:ascii="Arial" w:hAnsi="Arial" w:cs="Arial"/>
          <w:sz w:val="20"/>
          <w:szCs w:val="20"/>
        </w:rPr>
        <w:t>Wzory dokumentów</w:t>
      </w:r>
      <w:r w:rsidRPr="0081760D">
        <w:rPr>
          <w:rFonts w:ascii="Arial" w:hAnsi="Arial" w:cs="Arial"/>
          <w:sz w:val="20"/>
          <w:szCs w:val="20"/>
        </w:rPr>
        <w:t>. Gotowe wzory pism, umów, deklaracji i formularzy podatkowych w wersji:</w:t>
      </w:r>
    </w:p>
    <w:p w:rsidR="002329F3" w:rsidRDefault="00AE1823" w:rsidP="002329F3">
      <w:pPr>
        <w:pStyle w:val="NormalnyWeb"/>
        <w:numPr>
          <w:ilvl w:val="0"/>
          <w:numId w:val="4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do przejrzenia (plik PDF),</w:t>
      </w:r>
    </w:p>
    <w:p w:rsidR="002329F3" w:rsidRDefault="00C7021D" w:rsidP="002329F3">
      <w:pPr>
        <w:pStyle w:val="NormalnyWeb"/>
        <w:numPr>
          <w:ilvl w:val="0"/>
          <w:numId w:val="4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wypełnienia (plik RFT</w:t>
      </w:r>
      <w:r w:rsidR="00AE1823" w:rsidRPr="0081760D">
        <w:rPr>
          <w:rFonts w:ascii="Arial" w:hAnsi="Arial" w:cs="Arial"/>
          <w:sz w:val="20"/>
          <w:szCs w:val="20"/>
        </w:rPr>
        <w:t>),</w:t>
      </w:r>
    </w:p>
    <w:p w:rsidR="00AE1823" w:rsidRDefault="00AE1823" w:rsidP="002329F3">
      <w:pPr>
        <w:pStyle w:val="NormalnyWeb"/>
        <w:numPr>
          <w:ilvl w:val="0"/>
          <w:numId w:val="4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1760D">
        <w:rPr>
          <w:rFonts w:ascii="Arial" w:hAnsi="Arial" w:cs="Arial"/>
          <w:sz w:val="20"/>
          <w:szCs w:val="20"/>
        </w:rPr>
        <w:t>do obliczeń (plik XLS).</w:t>
      </w:r>
    </w:p>
    <w:p w:rsidR="006A5CBC" w:rsidRPr="0081760D" w:rsidRDefault="00AE1823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Style w:val="Pogrubienie"/>
          <w:rFonts w:ascii="Arial" w:hAnsi="Arial" w:cs="Arial"/>
          <w:sz w:val="20"/>
          <w:szCs w:val="20"/>
        </w:rPr>
        <w:t>Klasyfikacje środków trwałych</w:t>
      </w:r>
      <w:r w:rsidR="00C7021D">
        <w:rPr>
          <w:rFonts w:ascii="Arial" w:hAnsi="Arial" w:cs="Arial"/>
          <w:sz w:val="20"/>
          <w:szCs w:val="20"/>
        </w:rPr>
        <w:t>, PKD, PKWiU</w:t>
      </w:r>
      <w:r w:rsidRPr="0081760D">
        <w:rPr>
          <w:rFonts w:ascii="Arial" w:hAnsi="Arial" w:cs="Arial"/>
          <w:sz w:val="20"/>
          <w:szCs w:val="20"/>
        </w:rPr>
        <w:t xml:space="preserve"> jak również zestawienie pozycji PKWiU ze stawkami VAT.</w:t>
      </w:r>
    </w:p>
    <w:p w:rsidR="006A5CBC" w:rsidRPr="0081760D" w:rsidRDefault="00AE1823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Style w:val="Pogrubienie"/>
          <w:rFonts w:ascii="Arial" w:hAnsi="Arial" w:cs="Arial"/>
          <w:sz w:val="20"/>
          <w:szCs w:val="20"/>
        </w:rPr>
        <w:t>Bazy teleadresowe</w:t>
      </w:r>
      <w:r w:rsidRPr="0081760D">
        <w:rPr>
          <w:rFonts w:ascii="Arial" w:hAnsi="Arial" w:cs="Arial"/>
          <w:sz w:val="20"/>
          <w:szCs w:val="20"/>
        </w:rPr>
        <w:t xml:space="preserve"> izb i urzędów skarbowych oraz oddziałów ZUS. Dane teleadresowe izb i urzędów skarbowych, oddziałów ZUS oraz numery rachunków bankowych urzędów skarbowych, wykaz siedzib i terytorialnych zasięgów działania.</w:t>
      </w:r>
    </w:p>
    <w:p w:rsidR="00AE1823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Analizy problemów prawnych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. Analizy </w:t>
      </w:r>
      <w:r w:rsidR="00AE1823" w:rsidRPr="0081760D">
        <w:rPr>
          <w:rFonts w:ascii="Arial" w:hAnsi="Arial" w:cs="Arial"/>
          <w:sz w:val="20"/>
          <w:szCs w:val="20"/>
        </w:rPr>
        <w:t>problemów podatkowych i księgowych opatrzonych profesjonalnym komentarzem, zbiorem orzecznictwa sądowego, wyjaśnieniami resortu finansów. Użytkownik ma dostęp do k</w:t>
      </w:r>
      <w:r w:rsidR="002329F3">
        <w:rPr>
          <w:rFonts w:ascii="Arial" w:hAnsi="Arial" w:cs="Arial"/>
          <w:sz w:val="20"/>
          <w:szCs w:val="20"/>
        </w:rPr>
        <w:t>ompletnej bazy aktów prawnych z </w:t>
      </w:r>
      <w:r w:rsidR="00AE1823" w:rsidRPr="0081760D">
        <w:rPr>
          <w:rFonts w:ascii="Arial" w:hAnsi="Arial" w:cs="Arial"/>
          <w:sz w:val="20"/>
          <w:szCs w:val="20"/>
        </w:rPr>
        <w:t>okresu ostatnich 5 lat oraz do unikalnych analiz prak</w:t>
      </w:r>
      <w:r w:rsidR="002329F3">
        <w:rPr>
          <w:rFonts w:ascii="Arial" w:hAnsi="Arial" w:cs="Arial"/>
          <w:sz w:val="20"/>
          <w:szCs w:val="20"/>
        </w:rPr>
        <w:t>tycznych problemów związanych z </w:t>
      </w:r>
      <w:r w:rsidR="00AE1823" w:rsidRPr="0081760D">
        <w:rPr>
          <w:rFonts w:ascii="Arial" w:hAnsi="Arial" w:cs="Arial"/>
          <w:sz w:val="20"/>
          <w:szCs w:val="20"/>
        </w:rPr>
        <w:t xml:space="preserve">międzynarodowymi standardami rachunkowości i sprawozdawczości finansowej oraz analizą finansową i procesem windykacji. Ponadto w programie </w:t>
      </w:r>
      <w:r w:rsidR="002329F3">
        <w:rPr>
          <w:rFonts w:ascii="Arial" w:hAnsi="Arial" w:cs="Arial"/>
          <w:sz w:val="20"/>
          <w:szCs w:val="20"/>
        </w:rPr>
        <w:t>dostępne są praktyczne moduły z </w:t>
      </w:r>
      <w:r w:rsidR="00AE1823" w:rsidRPr="0081760D">
        <w:rPr>
          <w:rFonts w:ascii="Arial" w:hAnsi="Arial" w:cs="Arial"/>
          <w:sz w:val="20"/>
          <w:szCs w:val="20"/>
        </w:rPr>
        <w:t>zakładowym planem kont, edytowalnymi wzorami dokumentów i deklaracji oraz kalkulatory.</w:t>
      </w:r>
      <w:r w:rsidR="00AE1823"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6A5CBC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Komentarze specjalistów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. Na bieżąco aktualizowane, praktyczne komentarze. Zawierające wskazówki i rozwiązania problemów kadrowo-płacowych poparte konkretnymi przykładami. </w:t>
      </w:r>
    </w:p>
    <w:p w:rsidR="006A5CBC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sz w:val="20"/>
          <w:szCs w:val="20"/>
          <w:lang w:eastAsia="pl-PL"/>
        </w:rPr>
        <w:t>Dostęp do b</w:t>
      </w: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azy pytań Użytkowników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odpowiedzi Specjalistów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. Możliwość uzyskania odpowiedzi</w:t>
      </w:r>
      <w:r w:rsidR="00AE1823"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na pytanie Uż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ytkownika, w ciągu maksymalnie 7 dni roboczych, opracowaną przez eksperta.</w:t>
      </w:r>
    </w:p>
    <w:p w:rsidR="00AE1823" w:rsidRDefault="00AE1823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Stawki, wskaźniki i kalkulatory</w:t>
      </w:r>
      <w:r w:rsidR="002329F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329F3" w:rsidRPr="0081760D" w:rsidRDefault="002329F3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A5CBC" w:rsidRPr="0081760D" w:rsidRDefault="003B6A35" w:rsidP="008176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Serwis </w:t>
      </w:r>
      <w:r w:rsidR="00FC3A70" w:rsidRPr="0081760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Kadrowy</w:t>
      </w:r>
      <w:r w:rsidR="004E11A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powinien zawierać:</w:t>
      </w:r>
    </w:p>
    <w:p w:rsidR="003B6A35" w:rsidRPr="0081760D" w:rsidRDefault="006A5CBC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jednolicone teksty </w:t>
      </w:r>
      <w:r w:rsidR="003B6A35"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aktów</w:t>
      </w:r>
      <w:r w:rsidR="003B6A35"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prawnych z zakresu:</w:t>
      </w:r>
    </w:p>
    <w:p w:rsidR="003B6A35" w:rsidRPr="0081760D" w:rsidRDefault="003B6A35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prawa pracy,</w:t>
      </w:r>
    </w:p>
    <w:p w:rsidR="003B6A35" w:rsidRPr="0081760D" w:rsidRDefault="003B6A35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ubezpieczeń społecznych,</w:t>
      </w:r>
    </w:p>
    <w:p w:rsidR="003B6A35" w:rsidRPr="0081760D" w:rsidRDefault="003B6A35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ochrony danych osobowych</w:t>
      </w:r>
    </w:p>
    <w:p w:rsidR="003B6A35" w:rsidRPr="0081760D" w:rsidRDefault="003B6A35" w:rsidP="002329F3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oraz prawa Unii Europejskiej.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Orzecznictwo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A5CBC"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Dostęp do 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orzeczeń sądowych w sprawach podatkowych i z zakresu prawa pracy, wydanych przez TK, SN, NSA i WSA jak również orzeczenia ETS. 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Pisma urzędowe</w:t>
      </w:r>
      <w:r w:rsidR="006A5CBC" w:rsidRPr="0081760D">
        <w:rPr>
          <w:rFonts w:ascii="Arial" w:eastAsia="Times New Roman" w:hAnsi="Arial" w:cs="Arial"/>
          <w:sz w:val="20"/>
          <w:szCs w:val="20"/>
          <w:lang w:eastAsia="pl-PL"/>
        </w:rPr>
        <w:t>. I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stotne dla pracodawców pisma takich instytucji jak: Ministerstwo Pracy i Polityki Socjalnej, </w:t>
      </w:r>
      <w:proofErr w:type="spellStart"/>
      <w:r w:rsidRPr="0081760D">
        <w:rPr>
          <w:rFonts w:ascii="Arial" w:eastAsia="Times New Roman" w:hAnsi="Arial" w:cs="Arial"/>
          <w:sz w:val="20"/>
          <w:szCs w:val="20"/>
          <w:lang w:eastAsia="pl-PL"/>
        </w:rPr>
        <w:t>PiP</w:t>
      </w:r>
      <w:proofErr w:type="spellEnd"/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, ZUS, KRUS, </w:t>
      </w:r>
      <w:r w:rsidR="006A5CBC" w:rsidRPr="0081760D">
        <w:rPr>
          <w:rFonts w:ascii="Arial" w:eastAsia="Times New Roman" w:hAnsi="Arial" w:cs="Arial"/>
          <w:sz w:val="20"/>
          <w:szCs w:val="20"/>
          <w:lang w:eastAsia="pl-PL"/>
        </w:rPr>
        <w:t>PFRON.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Stawki, wskaźniki i kalkulatory</w:t>
      </w:r>
      <w:r w:rsidR="00AE1823" w:rsidRPr="0081760D">
        <w:rPr>
          <w:rFonts w:ascii="Arial" w:eastAsia="Times New Roman" w:hAnsi="Arial" w:cs="Arial"/>
          <w:sz w:val="20"/>
          <w:szCs w:val="20"/>
          <w:lang w:eastAsia="pl-PL"/>
        </w:rPr>
        <w:t>. Baza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aktualnych danych z za</w:t>
      </w:r>
      <w:r w:rsidR="002329F3">
        <w:rPr>
          <w:rFonts w:ascii="Arial" w:eastAsia="Times New Roman" w:hAnsi="Arial" w:cs="Arial"/>
          <w:sz w:val="20"/>
          <w:szCs w:val="20"/>
          <w:lang w:eastAsia="pl-PL"/>
        </w:rPr>
        <w:t>kresu ubezpieczeń społecznych i 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prawa pracy oraz zestaw praktycznych kalkulatorów (kalkulatory wynagrodzeń, umów-zleceń, wymiaru urlopu, podróży służbowych i inne).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Klasyfikacje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m.in. PKD, klasyfikacja zawodów i specjalności.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Bazy teleadresowe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urzędów pracy oraz oddziałów ZUS i </w:t>
      </w:r>
      <w:proofErr w:type="spellStart"/>
      <w:r w:rsidRPr="0081760D">
        <w:rPr>
          <w:rFonts w:ascii="Arial" w:eastAsia="Times New Roman" w:hAnsi="Arial" w:cs="Arial"/>
          <w:sz w:val="20"/>
          <w:szCs w:val="20"/>
          <w:lang w:eastAsia="pl-PL"/>
        </w:rPr>
        <w:t>PiP</w:t>
      </w:r>
      <w:proofErr w:type="spellEnd"/>
      <w:r w:rsidRPr="0081760D">
        <w:rPr>
          <w:rFonts w:ascii="Arial" w:eastAsia="Times New Roman" w:hAnsi="Arial" w:cs="Arial"/>
          <w:sz w:val="20"/>
          <w:szCs w:val="20"/>
          <w:lang w:eastAsia="pl-PL"/>
        </w:rPr>
        <w:t>, sądów pracy, agencji doradztwa personalnego i inne - wykaz siedzib i terytorialnych zasięgów działania.</w:t>
      </w:r>
    </w:p>
    <w:p w:rsidR="003B6A35" w:rsidRPr="0081760D" w:rsidRDefault="003B6A35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Analizy problemów prawnych</w:t>
      </w:r>
      <w:r w:rsidR="006A5CBC" w:rsidRPr="0081760D">
        <w:rPr>
          <w:rFonts w:ascii="Arial" w:eastAsia="Times New Roman" w:hAnsi="Arial" w:cs="Arial"/>
          <w:sz w:val="20"/>
          <w:szCs w:val="20"/>
          <w:lang w:eastAsia="pl-PL"/>
        </w:rPr>
        <w:t>. A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naliz</w:t>
      </w:r>
      <w:r w:rsidR="006A5CBC" w:rsidRPr="0081760D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konkretnych zagadnień z dziedziny prawa pracy oraz ubezpieczeń społecznych w postaci zebranych dokumentów (komentarzy, wzorów dokumentów, przepisów prawnych, orzeczeń, pism urzędowych), stanowiących materiały, w oparciu o które rozwiążesz wszelkie problemy praktyczne związane z danym zagadnieniem będącym przedmiotem analizy.</w:t>
      </w:r>
    </w:p>
    <w:p w:rsidR="006A5CBC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Komentarze specjalistów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. Na bieżąco aktualizowane, praktyczne komentarze. Zawierające wskazówki i rozwiązania problemów kadrowo-płacowych poparte konkretnymi przykładami. </w:t>
      </w:r>
    </w:p>
    <w:p w:rsidR="006A5CBC" w:rsidRPr="0081760D" w:rsidRDefault="006A5CBC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b/>
          <w:sz w:val="20"/>
          <w:szCs w:val="20"/>
          <w:lang w:eastAsia="pl-PL"/>
        </w:rPr>
        <w:t>Dostęp do b</w:t>
      </w: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azy pytań Użytkowników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Pr="008176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odpowiedzi Specjalistów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. Możliwość uzyskania odpowiedzi</w:t>
      </w:r>
      <w:r w:rsidR="00AE1823"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 na pytanie Uż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ytkownika, w ciągu maksymalnie 7 dni roboczych, opracowaną przez eksperta.</w:t>
      </w:r>
    </w:p>
    <w:p w:rsidR="00C65D84" w:rsidRDefault="00C65D84" w:rsidP="002329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329F3" w:rsidRDefault="00C65D84" w:rsidP="002329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65D84">
        <w:rPr>
          <w:rFonts w:ascii="Arial" w:eastAsia="Times New Roman" w:hAnsi="Arial" w:cs="Arial"/>
          <w:b/>
          <w:sz w:val="20"/>
          <w:szCs w:val="20"/>
          <w:lang w:eastAsia="pl-PL"/>
        </w:rPr>
        <w:t>Wersja Kadry Premium – posiada Infolinię czynną od poniedziałku do piątku w godzinach od 8:00 do 17:00 z możliwością nielimitowanego zadawania pytań Ekspertom.</w:t>
      </w:r>
    </w:p>
    <w:p w:rsidR="005A3BCE" w:rsidRPr="0081760D" w:rsidRDefault="002329F3" w:rsidP="002329F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Cloud</w:t>
      </w:r>
      <w:proofErr w:type="spellEnd"/>
    </w:p>
    <w:p w:rsidR="005A3BCE" w:rsidRPr="0081760D" w:rsidRDefault="005A3BCE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Możliwość dodawania własnych plików do Aktówki.</w:t>
      </w:r>
    </w:p>
    <w:p w:rsidR="005A3BCE" w:rsidRPr="0081760D" w:rsidRDefault="005A3BCE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Możliwość dodawania własnych plików pod jednostkami redakcyjnymi lub całymi dokumentami.</w:t>
      </w:r>
    </w:p>
    <w:p w:rsidR="005A3BCE" w:rsidRPr="0081760D" w:rsidRDefault="005A3BCE" w:rsidP="002329F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Możliwość udost</w:t>
      </w:r>
      <w:r w:rsidR="00F06882" w:rsidRPr="0081760D">
        <w:rPr>
          <w:rFonts w:ascii="Arial" w:eastAsia="Times New Roman" w:hAnsi="Arial" w:cs="Arial"/>
          <w:sz w:val="20"/>
          <w:szCs w:val="20"/>
          <w:lang w:eastAsia="pl-PL"/>
        </w:rPr>
        <w:t xml:space="preserve">ępniania innym użytkownikom systemu </w:t>
      </w:r>
      <w:r w:rsidRPr="0081760D">
        <w:rPr>
          <w:rFonts w:ascii="Arial" w:eastAsia="Times New Roman" w:hAnsi="Arial" w:cs="Arial"/>
          <w:sz w:val="20"/>
          <w:szCs w:val="20"/>
          <w:lang w:eastAsia="pl-PL"/>
        </w:rPr>
        <w:t>wybranych folderów Aktówki.</w:t>
      </w:r>
    </w:p>
    <w:p w:rsidR="004D4475" w:rsidRPr="0081760D" w:rsidRDefault="004D4475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D4475" w:rsidRPr="0081760D" w:rsidRDefault="002873BC" w:rsidP="008176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Kompas Orzeczniczy</w:t>
      </w:r>
    </w:p>
    <w:p w:rsidR="004D4475" w:rsidRPr="0081760D" w:rsidRDefault="004D4475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1760D">
        <w:rPr>
          <w:rFonts w:ascii="Arial" w:eastAsia="Times New Roman" w:hAnsi="Arial" w:cs="Arial"/>
          <w:sz w:val="20"/>
          <w:szCs w:val="20"/>
          <w:lang w:eastAsia="pl-PL"/>
        </w:rPr>
        <w:t>Przyspiesza anal</w:t>
      </w:r>
      <w:r w:rsidR="002329F3">
        <w:rPr>
          <w:rFonts w:ascii="Arial" w:eastAsia="Times New Roman" w:hAnsi="Arial" w:cs="Arial"/>
          <w:sz w:val="20"/>
          <w:szCs w:val="20"/>
          <w:lang w:eastAsia="pl-PL"/>
        </w:rPr>
        <w:t>izę orzeczeń w systemie dzięki:</w:t>
      </w:r>
    </w:p>
    <w:p w:rsidR="004D4475" w:rsidRPr="002329F3" w:rsidRDefault="004D4475" w:rsidP="002329F3">
      <w:pPr>
        <w:pStyle w:val="Akapitzlist"/>
        <w:numPr>
          <w:ilvl w:val="0"/>
          <w:numId w:val="44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29F3">
        <w:rPr>
          <w:rFonts w:ascii="Arial" w:eastAsia="Times New Roman" w:hAnsi="Arial" w:cs="Arial"/>
          <w:sz w:val="20"/>
          <w:szCs w:val="20"/>
          <w:lang w:eastAsia="pl-PL"/>
        </w:rPr>
        <w:t>skróconej liście wyników wyszukiwania,</w:t>
      </w:r>
    </w:p>
    <w:p w:rsidR="004D4475" w:rsidRPr="002329F3" w:rsidRDefault="004D4475" w:rsidP="002329F3">
      <w:pPr>
        <w:pStyle w:val="Akapitzlist"/>
        <w:numPr>
          <w:ilvl w:val="0"/>
          <w:numId w:val="44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29F3">
        <w:rPr>
          <w:rFonts w:ascii="Arial" w:eastAsia="Times New Roman" w:hAnsi="Arial" w:cs="Arial"/>
          <w:sz w:val="20"/>
          <w:szCs w:val="20"/>
          <w:lang w:eastAsia="pl-PL"/>
        </w:rPr>
        <w:t>zbiorowi orzeczeń podobnych do przeglądanego,</w:t>
      </w:r>
    </w:p>
    <w:p w:rsidR="004D4475" w:rsidRPr="002329F3" w:rsidRDefault="004D4475" w:rsidP="002329F3">
      <w:pPr>
        <w:pStyle w:val="Akapitzlist"/>
        <w:numPr>
          <w:ilvl w:val="0"/>
          <w:numId w:val="44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29F3">
        <w:rPr>
          <w:rFonts w:ascii="Arial" w:eastAsia="Times New Roman" w:hAnsi="Arial" w:cs="Arial"/>
          <w:sz w:val="20"/>
          <w:szCs w:val="20"/>
          <w:lang w:eastAsia="pl-PL"/>
        </w:rPr>
        <w:t>możliwości natychmiastowej weryfikacji istoty orzeczenia,</w:t>
      </w:r>
    </w:p>
    <w:p w:rsidR="004D4475" w:rsidRPr="002329F3" w:rsidRDefault="004D4475" w:rsidP="002329F3">
      <w:pPr>
        <w:pStyle w:val="Akapitzlist"/>
        <w:numPr>
          <w:ilvl w:val="0"/>
          <w:numId w:val="44"/>
        </w:num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29F3">
        <w:rPr>
          <w:rFonts w:ascii="Arial" w:eastAsia="Times New Roman" w:hAnsi="Arial" w:cs="Arial"/>
          <w:sz w:val="20"/>
          <w:szCs w:val="20"/>
          <w:lang w:eastAsia="pl-PL"/>
        </w:rPr>
        <w:t>liście orzeczeń rekomendowanych przez ekspertów.</w:t>
      </w:r>
    </w:p>
    <w:p w:rsidR="000E1E40" w:rsidRDefault="000E1E40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73BC" w:rsidRDefault="002873BC" w:rsidP="002873B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Kompas Orzeczniczy –</w:t>
      </w:r>
      <w:r w:rsidR="003B6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873BC">
        <w:rPr>
          <w:rFonts w:ascii="Arial" w:eastAsia="Times New Roman" w:hAnsi="Arial" w:cs="Arial"/>
          <w:b/>
          <w:sz w:val="20"/>
          <w:szCs w:val="20"/>
          <w:lang w:eastAsia="pl-PL"/>
        </w:rPr>
        <w:t>Interpretacje Podatkowe</w:t>
      </w:r>
    </w:p>
    <w:p w:rsidR="002873BC" w:rsidRDefault="002873BC" w:rsidP="002873B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73BC" w:rsidRPr="002873BC" w:rsidRDefault="002873BC" w:rsidP="002873BC">
      <w:pPr>
        <w:pStyle w:val="Akapitzlist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873BC">
        <w:rPr>
          <w:rFonts w:ascii="Arial" w:eastAsia="Times New Roman" w:hAnsi="Arial" w:cs="Arial"/>
          <w:sz w:val="20"/>
          <w:szCs w:val="20"/>
          <w:lang w:eastAsia="pl-PL"/>
        </w:rPr>
        <w:t>podsumowanie interpretacji podatkowej - już na liście wynikowej widzisz czego dotyczyła dana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873BC">
        <w:rPr>
          <w:rFonts w:ascii="Arial" w:eastAsia="Times New Roman" w:hAnsi="Arial" w:cs="Arial"/>
          <w:sz w:val="20"/>
          <w:szCs w:val="20"/>
          <w:lang w:eastAsia="pl-PL"/>
        </w:rPr>
        <w:t>interpretacja,</w:t>
      </w:r>
    </w:p>
    <w:p w:rsidR="002873BC" w:rsidRPr="002873BC" w:rsidRDefault="002873BC" w:rsidP="002873BC">
      <w:pPr>
        <w:pStyle w:val="Akapitzlist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873BC">
        <w:rPr>
          <w:rFonts w:ascii="Arial" w:eastAsia="Times New Roman" w:hAnsi="Arial" w:cs="Arial"/>
          <w:sz w:val="20"/>
          <w:szCs w:val="20"/>
          <w:lang w:eastAsia="pl-PL"/>
        </w:rPr>
        <w:t>streszczenie interpretacji podatkowej - nie musisz czytać całego pisma, aby dowiedzieć się czy jest ono dla Ciebie istotne,</w:t>
      </w:r>
    </w:p>
    <w:p w:rsidR="002873BC" w:rsidRPr="002873BC" w:rsidRDefault="002873BC" w:rsidP="002873BC">
      <w:pPr>
        <w:pStyle w:val="Akapitzlist"/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873BC">
        <w:rPr>
          <w:rFonts w:ascii="Arial" w:eastAsia="Times New Roman" w:hAnsi="Arial" w:cs="Arial"/>
          <w:sz w:val="20"/>
          <w:szCs w:val="20"/>
          <w:lang w:eastAsia="pl-PL"/>
        </w:rPr>
        <w:t>możliwość przeglądania interpretacji podatkowych podobnych do przeglądanej,</w:t>
      </w:r>
    </w:p>
    <w:p w:rsidR="002873BC" w:rsidRDefault="002873BC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73BC" w:rsidRPr="0081760D" w:rsidRDefault="002873BC" w:rsidP="00817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873BC" w:rsidRPr="0081760D" w:rsidSect="00FE144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3A" w:rsidRDefault="0060513A" w:rsidP="00CB787F">
      <w:pPr>
        <w:spacing w:after="0" w:line="240" w:lineRule="auto"/>
      </w:pPr>
      <w:r>
        <w:separator/>
      </w:r>
    </w:p>
  </w:endnote>
  <w:endnote w:type="continuationSeparator" w:id="0">
    <w:p w:rsidR="0060513A" w:rsidRDefault="0060513A" w:rsidP="00CB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52" w:rsidRDefault="00773777">
    <w:pPr>
      <w:pStyle w:val="Stopka"/>
      <w:jc w:val="right"/>
    </w:pPr>
    <w:r>
      <w:fldChar w:fldCharType="begin"/>
    </w:r>
    <w:r w:rsidR="00EE78E5">
      <w:instrText xml:space="preserve"> PAGE   \* MERGEFORMAT </w:instrText>
    </w:r>
    <w:r>
      <w:fldChar w:fldCharType="separate"/>
    </w:r>
    <w:r w:rsidR="002976A5">
      <w:rPr>
        <w:noProof/>
      </w:rPr>
      <w:t>1</w:t>
    </w:r>
    <w:r>
      <w:rPr>
        <w:noProof/>
      </w:rPr>
      <w:fldChar w:fldCharType="end"/>
    </w:r>
  </w:p>
  <w:p w:rsidR="00B56152" w:rsidRDefault="00B561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3A" w:rsidRDefault="0060513A" w:rsidP="00CB787F">
      <w:pPr>
        <w:spacing w:after="0" w:line="240" w:lineRule="auto"/>
      </w:pPr>
      <w:r>
        <w:separator/>
      </w:r>
    </w:p>
  </w:footnote>
  <w:footnote w:type="continuationSeparator" w:id="0">
    <w:p w:rsidR="0060513A" w:rsidRDefault="0060513A" w:rsidP="00CB7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D2E"/>
    <w:multiLevelType w:val="multilevel"/>
    <w:tmpl w:val="22521F6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8400A2"/>
    <w:multiLevelType w:val="hybridMultilevel"/>
    <w:tmpl w:val="DD1292E2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51658C0"/>
    <w:multiLevelType w:val="multilevel"/>
    <w:tmpl w:val="6CC068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C12D2"/>
    <w:multiLevelType w:val="multilevel"/>
    <w:tmpl w:val="6CC068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23BCB"/>
    <w:multiLevelType w:val="hybridMultilevel"/>
    <w:tmpl w:val="5B5E85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CD4414F"/>
    <w:multiLevelType w:val="hybridMultilevel"/>
    <w:tmpl w:val="0B6A3CA6"/>
    <w:lvl w:ilvl="0" w:tplc="8018A40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DD3BA9"/>
    <w:multiLevelType w:val="hybridMultilevel"/>
    <w:tmpl w:val="1A42A6E0"/>
    <w:lvl w:ilvl="0" w:tplc="70C0D8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6A3A56"/>
    <w:multiLevelType w:val="multilevel"/>
    <w:tmpl w:val="6CC068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302398"/>
    <w:multiLevelType w:val="hybridMultilevel"/>
    <w:tmpl w:val="FB34958E"/>
    <w:lvl w:ilvl="0" w:tplc="49FEE3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042A4A"/>
    <w:multiLevelType w:val="hybridMultilevel"/>
    <w:tmpl w:val="3AD8C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9B565A"/>
    <w:multiLevelType w:val="hybridMultilevel"/>
    <w:tmpl w:val="2FFC5EA4"/>
    <w:lvl w:ilvl="0" w:tplc="79900A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74C5835"/>
    <w:multiLevelType w:val="hybridMultilevel"/>
    <w:tmpl w:val="27F08DD4"/>
    <w:lvl w:ilvl="0" w:tplc="38C0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16F3A"/>
    <w:multiLevelType w:val="multilevel"/>
    <w:tmpl w:val="6CC068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B23818"/>
    <w:multiLevelType w:val="hybridMultilevel"/>
    <w:tmpl w:val="3AD8C9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6B0809"/>
    <w:multiLevelType w:val="multilevel"/>
    <w:tmpl w:val="CD7A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DC0A3A"/>
    <w:multiLevelType w:val="hybridMultilevel"/>
    <w:tmpl w:val="4B16038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1B4432"/>
    <w:multiLevelType w:val="hybridMultilevel"/>
    <w:tmpl w:val="0FA0E0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24B76FC"/>
    <w:multiLevelType w:val="hybridMultilevel"/>
    <w:tmpl w:val="FFE240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8479FF"/>
    <w:multiLevelType w:val="hybridMultilevel"/>
    <w:tmpl w:val="27F08DD4"/>
    <w:lvl w:ilvl="0" w:tplc="38C0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C3622"/>
    <w:multiLevelType w:val="hybridMultilevel"/>
    <w:tmpl w:val="9BD01FDE"/>
    <w:lvl w:ilvl="0" w:tplc="1F9278B0">
      <w:start w:val="1"/>
      <w:numFmt w:val="decimal"/>
      <w:lvlText w:val="%1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1" w:tplc="C4244E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-ItalicMT" w:hAnsi="Arial-ItalicMT" w:cs="Arial-ItalicMT" w:hint="default"/>
      </w:rPr>
    </w:lvl>
    <w:lvl w:ilvl="2" w:tplc="C9AC89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8D3013"/>
    <w:multiLevelType w:val="hybridMultilevel"/>
    <w:tmpl w:val="CD609472"/>
    <w:lvl w:ilvl="0" w:tplc="D3DE82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5D3E8B"/>
    <w:multiLevelType w:val="hybridMultilevel"/>
    <w:tmpl w:val="0ABAD55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30BBB"/>
    <w:multiLevelType w:val="hybridMultilevel"/>
    <w:tmpl w:val="276A7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66D69"/>
    <w:multiLevelType w:val="hybridMultilevel"/>
    <w:tmpl w:val="0810B2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0D83DE6"/>
    <w:multiLevelType w:val="hybridMultilevel"/>
    <w:tmpl w:val="58540A34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196223A"/>
    <w:multiLevelType w:val="hybridMultilevel"/>
    <w:tmpl w:val="49EAFD14"/>
    <w:lvl w:ilvl="0" w:tplc="7B8E7D7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E80109"/>
    <w:multiLevelType w:val="hybridMultilevel"/>
    <w:tmpl w:val="9BE2CC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5C52651"/>
    <w:multiLevelType w:val="hybridMultilevel"/>
    <w:tmpl w:val="8B3AC2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7B01C4"/>
    <w:multiLevelType w:val="hybridMultilevel"/>
    <w:tmpl w:val="F0EAD7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05FFF"/>
    <w:multiLevelType w:val="hybridMultilevel"/>
    <w:tmpl w:val="1B669F3A"/>
    <w:lvl w:ilvl="0" w:tplc="29948B3C">
      <w:start w:val="1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0">
    <w:nsid w:val="601D1436"/>
    <w:multiLevelType w:val="hybridMultilevel"/>
    <w:tmpl w:val="A77CC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B813D6"/>
    <w:multiLevelType w:val="hybridMultilevel"/>
    <w:tmpl w:val="41A02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75048"/>
    <w:multiLevelType w:val="hybridMultilevel"/>
    <w:tmpl w:val="FBE2A9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8408FF"/>
    <w:multiLevelType w:val="hybridMultilevel"/>
    <w:tmpl w:val="6EFEA0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B02947"/>
    <w:multiLevelType w:val="hybridMultilevel"/>
    <w:tmpl w:val="E8441716"/>
    <w:lvl w:ilvl="0" w:tplc="5852BF42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757A49"/>
    <w:multiLevelType w:val="hybridMultilevel"/>
    <w:tmpl w:val="142E6A80"/>
    <w:lvl w:ilvl="0" w:tplc="7EFE5AAC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467A3D"/>
    <w:multiLevelType w:val="multilevel"/>
    <w:tmpl w:val="96C2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0270B6"/>
    <w:multiLevelType w:val="hybridMultilevel"/>
    <w:tmpl w:val="BB006318"/>
    <w:lvl w:ilvl="0" w:tplc="A9C8007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6769BA"/>
    <w:multiLevelType w:val="hybridMultilevel"/>
    <w:tmpl w:val="71982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1F74FF7"/>
    <w:multiLevelType w:val="hybridMultilevel"/>
    <w:tmpl w:val="8906267A"/>
    <w:lvl w:ilvl="0" w:tplc="8A9608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795D5A"/>
    <w:multiLevelType w:val="hybridMultilevel"/>
    <w:tmpl w:val="FE7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0002F6"/>
    <w:multiLevelType w:val="hybridMultilevel"/>
    <w:tmpl w:val="86644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10E5D"/>
    <w:multiLevelType w:val="hybridMultilevel"/>
    <w:tmpl w:val="4D1204E8"/>
    <w:lvl w:ilvl="0" w:tplc="55AE8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A2A76D3"/>
    <w:multiLevelType w:val="hybridMultilevel"/>
    <w:tmpl w:val="C30C23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BC86F3F"/>
    <w:multiLevelType w:val="hybridMultilevel"/>
    <w:tmpl w:val="06CC3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4"/>
  </w:num>
  <w:num w:numId="3">
    <w:abstractNumId w:val="5"/>
  </w:num>
  <w:num w:numId="4">
    <w:abstractNumId w:val="23"/>
  </w:num>
  <w:num w:numId="5">
    <w:abstractNumId w:val="10"/>
  </w:num>
  <w:num w:numId="6">
    <w:abstractNumId w:val="16"/>
  </w:num>
  <w:num w:numId="7">
    <w:abstractNumId w:val="29"/>
  </w:num>
  <w:num w:numId="8">
    <w:abstractNumId w:val="35"/>
  </w:num>
  <w:num w:numId="9">
    <w:abstractNumId w:val="39"/>
  </w:num>
  <w:num w:numId="10">
    <w:abstractNumId w:val="8"/>
  </w:num>
  <w:num w:numId="11">
    <w:abstractNumId w:val="33"/>
  </w:num>
  <w:num w:numId="12">
    <w:abstractNumId w:val="21"/>
  </w:num>
  <w:num w:numId="13">
    <w:abstractNumId w:val="24"/>
  </w:num>
  <w:num w:numId="14">
    <w:abstractNumId w:val="30"/>
  </w:num>
  <w:num w:numId="15">
    <w:abstractNumId w:val="6"/>
  </w:num>
  <w:num w:numId="16">
    <w:abstractNumId w:val="20"/>
  </w:num>
  <w:num w:numId="17">
    <w:abstractNumId w:val="25"/>
  </w:num>
  <w:num w:numId="18">
    <w:abstractNumId w:val="37"/>
  </w:num>
  <w:num w:numId="19">
    <w:abstractNumId w:val="11"/>
  </w:num>
  <w:num w:numId="20">
    <w:abstractNumId w:val="18"/>
  </w:num>
  <w:num w:numId="21">
    <w:abstractNumId w:val="14"/>
  </w:num>
  <w:num w:numId="22">
    <w:abstractNumId w:val="36"/>
  </w:num>
  <w:num w:numId="23">
    <w:abstractNumId w:val="0"/>
  </w:num>
  <w:num w:numId="24">
    <w:abstractNumId w:val="19"/>
  </w:num>
  <w:num w:numId="25">
    <w:abstractNumId w:val="43"/>
  </w:num>
  <w:num w:numId="26">
    <w:abstractNumId w:val="1"/>
  </w:num>
  <w:num w:numId="27">
    <w:abstractNumId w:val="32"/>
  </w:num>
  <w:num w:numId="28">
    <w:abstractNumId w:val="38"/>
  </w:num>
  <w:num w:numId="29">
    <w:abstractNumId w:val="13"/>
  </w:num>
  <w:num w:numId="30">
    <w:abstractNumId w:val="42"/>
  </w:num>
  <w:num w:numId="31">
    <w:abstractNumId w:val="15"/>
  </w:num>
  <w:num w:numId="32">
    <w:abstractNumId w:val="27"/>
  </w:num>
  <w:num w:numId="33">
    <w:abstractNumId w:val="4"/>
  </w:num>
  <w:num w:numId="34">
    <w:abstractNumId w:val="41"/>
  </w:num>
  <w:num w:numId="35">
    <w:abstractNumId w:val="22"/>
  </w:num>
  <w:num w:numId="36">
    <w:abstractNumId w:val="9"/>
  </w:num>
  <w:num w:numId="37">
    <w:abstractNumId w:val="3"/>
  </w:num>
  <w:num w:numId="38">
    <w:abstractNumId w:val="2"/>
  </w:num>
  <w:num w:numId="39">
    <w:abstractNumId w:val="12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7"/>
  </w:num>
  <w:num w:numId="43">
    <w:abstractNumId w:val="31"/>
  </w:num>
  <w:num w:numId="44">
    <w:abstractNumId w:val="40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43AAA5EA-ABB3-4120-B511-B765F211647B}"/>
  </w:docVars>
  <w:rsids>
    <w:rsidRoot w:val="00DA4A05"/>
    <w:rsid w:val="00006F8E"/>
    <w:rsid w:val="00015694"/>
    <w:rsid w:val="00047018"/>
    <w:rsid w:val="00072DDD"/>
    <w:rsid w:val="000776CF"/>
    <w:rsid w:val="00083C50"/>
    <w:rsid w:val="000A66AE"/>
    <w:rsid w:val="000B380D"/>
    <w:rsid w:val="000E1E40"/>
    <w:rsid w:val="000E4971"/>
    <w:rsid w:val="000F3B56"/>
    <w:rsid w:val="00132AC6"/>
    <w:rsid w:val="0013308F"/>
    <w:rsid w:val="0014134E"/>
    <w:rsid w:val="00160C78"/>
    <w:rsid w:val="001861F8"/>
    <w:rsid w:val="00187263"/>
    <w:rsid w:val="001C301B"/>
    <w:rsid w:val="001F394A"/>
    <w:rsid w:val="002252D6"/>
    <w:rsid w:val="002308ED"/>
    <w:rsid w:val="002329F3"/>
    <w:rsid w:val="00233F8D"/>
    <w:rsid w:val="002347F3"/>
    <w:rsid w:val="00260573"/>
    <w:rsid w:val="002873BC"/>
    <w:rsid w:val="002976A5"/>
    <w:rsid w:val="002B17A7"/>
    <w:rsid w:val="002C2F2A"/>
    <w:rsid w:val="002C388B"/>
    <w:rsid w:val="003078BD"/>
    <w:rsid w:val="0033123C"/>
    <w:rsid w:val="003A2FBB"/>
    <w:rsid w:val="003B6257"/>
    <w:rsid w:val="003B6A35"/>
    <w:rsid w:val="003E02B4"/>
    <w:rsid w:val="0041500C"/>
    <w:rsid w:val="00431F57"/>
    <w:rsid w:val="004433AA"/>
    <w:rsid w:val="00463AC3"/>
    <w:rsid w:val="004854EE"/>
    <w:rsid w:val="004D4475"/>
    <w:rsid w:val="004E11A6"/>
    <w:rsid w:val="004E2F74"/>
    <w:rsid w:val="004E7A41"/>
    <w:rsid w:val="004F2A1B"/>
    <w:rsid w:val="004F40D9"/>
    <w:rsid w:val="00513755"/>
    <w:rsid w:val="005432CE"/>
    <w:rsid w:val="005770AE"/>
    <w:rsid w:val="00580E7F"/>
    <w:rsid w:val="00581877"/>
    <w:rsid w:val="005A3BCE"/>
    <w:rsid w:val="005B4244"/>
    <w:rsid w:val="005D442C"/>
    <w:rsid w:val="005E55FD"/>
    <w:rsid w:val="005F0E40"/>
    <w:rsid w:val="006043C9"/>
    <w:rsid w:val="0060513A"/>
    <w:rsid w:val="00647A6F"/>
    <w:rsid w:val="00652499"/>
    <w:rsid w:val="0065504A"/>
    <w:rsid w:val="006821ED"/>
    <w:rsid w:val="00690D1D"/>
    <w:rsid w:val="006A5CBC"/>
    <w:rsid w:val="006C2AA1"/>
    <w:rsid w:val="006C6FFC"/>
    <w:rsid w:val="006D2ED6"/>
    <w:rsid w:val="006E269C"/>
    <w:rsid w:val="006E3510"/>
    <w:rsid w:val="006E44CE"/>
    <w:rsid w:val="007038E0"/>
    <w:rsid w:val="00750939"/>
    <w:rsid w:val="00763F8A"/>
    <w:rsid w:val="007672B2"/>
    <w:rsid w:val="00773777"/>
    <w:rsid w:val="007A6B99"/>
    <w:rsid w:val="007B1458"/>
    <w:rsid w:val="007D2A10"/>
    <w:rsid w:val="007F17C3"/>
    <w:rsid w:val="0081760D"/>
    <w:rsid w:val="00827B3F"/>
    <w:rsid w:val="0083518E"/>
    <w:rsid w:val="00841FD4"/>
    <w:rsid w:val="0085109C"/>
    <w:rsid w:val="00851106"/>
    <w:rsid w:val="00874261"/>
    <w:rsid w:val="00885E5E"/>
    <w:rsid w:val="008E3920"/>
    <w:rsid w:val="00934AFC"/>
    <w:rsid w:val="009513EE"/>
    <w:rsid w:val="00954323"/>
    <w:rsid w:val="00986BCB"/>
    <w:rsid w:val="009E318E"/>
    <w:rsid w:val="009E3732"/>
    <w:rsid w:val="00A07DEF"/>
    <w:rsid w:val="00A17C99"/>
    <w:rsid w:val="00A36C5E"/>
    <w:rsid w:val="00A53A23"/>
    <w:rsid w:val="00A63FB6"/>
    <w:rsid w:val="00A920C3"/>
    <w:rsid w:val="00A94E05"/>
    <w:rsid w:val="00AB48F6"/>
    <w:rsid w:val="00AD0720"/>
    <w:rsid w:val="00AE1823"/>
    <w:rsid w:val="00AE6D62"/>
    <w:rsid w:val="00B0727F"/>
    <w:rsid w:val="00B23C8F"/>
    <w:rsid w:val="00B56152"/>
    <w:rsid w:val="00B628E8"/>
    <w:rsid w:val="00B82C28"/>
    <w:rsid w:val="00BF4564"/>
    <w:rsid w:val="00C44664"/>
    <w:rsid w:val="00C63107"/>
    <w:rsid w:val="00C65D84"/>
    <w:rsid w:val="00C7021D"/>
    <w:rsid w:val="00CB787F"/>
    <w:rsid w:val="00D0127A"/>
    <w:rsid w:val="00D05756"/>
    <w:rsid w:val="00D149B1"/>
    <w:rsid w:val="00D569D8"/>
    <w:rsid w:val="00DA4A05"/>
    <w:rsid w:val="00DB5B18"/>
    <w:rsid w:val="00E06328"/>
    <w:rsid w:val="00E067B9"/>
    <w:rsid w:val="00E34FB6"/>
    <w:rsid w:val="00E96F0E"/>
    <w:rsid w:val="00EB2EC5"/>
    <w:rsid w:val="00EE78E5"/>
    <w:rsid w:val="00F06882"/>
    <w:rsid w:val="00F11420"/>
    <w:rsid w:val="00F23315"/>
    <w:rsid w:val="00F24158"/>
    <w:rsid w:val="00F26C85"/>
    <w:rsid w:val="00F46AF2"/>
    <w:rsid w:val="00F607E7"/>
    <w:rsid w:val="00F608E5"/>
    <w:rsid w:val="00F75315"/>
    <w:rsid w:val="00F86E34"/>
    <w:rsid w:val="00F92C95"/>
    <w:rsid w:val="00F97AAF"/>
    <w:rsid w:val="00FC10CB"/>
    <w:rsid w:val="00FC3A70"/>
    <w:rsid w:val="00FE144C"/>
    <w:rsid w:val="00FE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4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33F8D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F17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8E8"/>
    <w:pPr>
      <w:ind w:left="720"/>
      <w:contextualSpacing/>
    </w:pPr>
  </w:style>
  <w:style w:type="paragraph" w:styleId="Nagwek">
    <w:name w:val="header"/>
    <w:basedOn w:val="Normalny"/>
    <w:link w:val="NagwekZnak"/>
    <w:rsid w:val="00CB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B787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B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B787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51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1C"/>
    <w:rPr>
      <w:rFonts w:ascii="Times New Roman" w:hAnsi="Times New Roman"/>
      <w:sz w:val="0"/>
      <w:szCs w:val="0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0776C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B6A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33F8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33F8D"/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locked/>
    <w:rsid w:val="00233F8D"/>
  </w:style>
  <w:style w:type="character" w:customStyle="1" w:styleId="Nagwek1Znak">
    <w:name w:val="Nagłówek 1 Znak"/>
    <w:basedOn w:val="Domylnaczcionkaakapitu"/>
    <w:link w:val="Nagwek1"/>
    <w:rsid w:val="00233F8D"/>
    <w:rPr>
      <w:rFonts w:ascii="Times New Roman" w:eastAsia="Times New Roman" w:hAnsi="Times New Roman"/>
      <w:i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7F17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uiPriority w:val="99"/>
    <w:rsid w:val="007F17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4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33F8D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F17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8E8"/>
    <w:pPr>
      <w:ind w:left="720"/>
      <w:contextualSpacing/>
    </w:pPr>
  </w:style>
  <w:style w:type="paragraph" w:styleId="Nagwek">
    <w:name w:val="header"/>
    <w:basedOn w:val="Normalny"/>
    <w:link w:val="NagwekZnak"/>
    <w:rsid w:val="00CB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B787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B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B787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51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D1C"/>
    <w:rPr>
      <w:rFonts w:ascii="Times New Roman" w:hAnsi="Times New Roman"/>
      <w:sz w:val="0"/>
      <w:szCs w:val="0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0776C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B6A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33F8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33F8D"/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locked/>
    <w:rsid w:val="00233F8D"/>
  </w:style>
  <w:style w:type="character" w:customStyle="1" w:styleId="Nagwek1Znak">
    <w:name w:val="Nagłówek 1 Znak"/>
    <w:basedOn w:val="Domylnaczcionkaakapitu"/>
    <w:link w:val="Nagwek1"/>
    <w:rsid w:val="00233F8D"/>
    <w:rPr>
      <w:rFonts w:ascii="Times New Roman" w:eastAsia="Times New Roman" w:hAnsi="Times New Roman"/>
      <w:i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7F17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uiPriority w:val="99"/>
    <w:rsid w:val="007F17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A5EA-ABB3-4120-B511-B765F211647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76BB23E-34EF-4BCB-A8B4-AF0E9045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2549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2025-03-20T14:11:00Z</dcterms:created>
  <dcterms:modified xsi:type="dcterms:W3CDTF">2025-03-21T07:55:00Z</dcterms:modified>
</cp:coreProperties>
</file>